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jpeg" Extension="jpeg"/>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rPr>
          <w:rFonts w:eastAsia="黑体"/>
          <w:b/>
          <w:color w:val="auto"/>
          <w:sz w:val="36"/>
          <w:highlight w:val="none"/>
        </w:rPr>
      </w:pPr>
      <w:r>
        <w:rPr>
          <w:rFonts w:ascii="Tahoma" w:hAnsi="Tahoma" w:eastAsia="黑体" w:cs="黑体"/>
          <w:b/>
          <w:color w:val="auto"/>
          <w:sz w:val="28"/>
          <w:szCs w:val="22"/>
          <w:highlight w:val="none"/>
          <w:lang w:val="en-US" w:eastAsia="zh-CN" w:bidi="ar-SA"/>
        </w:rPr>
        <w:pict>
          <v:shape id="Picture 1" o:spid="_x0000_s1028" type="#_x0000_t75" style="height:40.75pt;width:42.1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jc w:val="right"/>
        <w:rPr>
          <w:rFonts w:eastAsia="黑体"/>
          <w:b/>
          <w:color w:val="auto"/>
          <w:sz w:val="36"/>
          <w:highlight w:val="none"/>
        </w:rPr>
      </w:pPr>
    </w:p>
    <w:p>
      <w:pPr>
        <w:rPr>
          <w:color w:val="auto"/>
          <w:highlight w:val="none"/>
        </w:rPr>
      </w:pPr>
    </w:p>
    <w:p>
      <w:pPr>
        <w:rPr>
          <w:color w:val="auto"/>
          <w:highlight w:val="none"/>
        </w:rPr>
      </w:pPr>
    </w:p>
    <w:p>
      <w:pPr>
        <w:rPr>
          <w:color w:val="auto"/>
          <w:highlight w:val="none"/>
        </w:rPr>
      </w:pPr>
    </w:p>
    <w:p>
      <w:pPr>
        <w:jc w:val="center"/>
        <w:rPr>
          <w:rFonts w:ascii="黑体" w:eastAsia="黑体"/>
          <w:b/>
          <w:color w:val="auto"/>
          <w:sz w:val="72"/>
          <w:szCs w:val="32"/>
          <w:highlight w:val="none"/>
        </w:rPr>
      </w:pPr>
      <w:r>
        <w:rPr>
          <w:rFonts w:hint="eastAsia" w:ascii="黑体" w:eastAsia="黑体"/>
          <w:b/>
          <w:color w:val="auto"/>
          <w:sz w:val="72"/>
          <w:szCs w:val="32"/>
          <w:highlight w:val="none"/>
        </w:rPr>
        <w:t>国内采购</w:t>
      </w:r>
    </w:p>
    <w:p>
      <w:pPr>
        <w:jc w:val="center"/>
        <w:rPr>
          <w:b/>
          <w:color w:val="auto"/>
          <w:sz w:val="72"/>
          <w:szCs w:val="32"/>
          <w:highlight w:val="none"/>
        </w:rPr>
      </w:pPr>
      <w:r>
        <w:rPr>
          <w:rFonts w:hint="eastAsia" w:ascii="黑体" w:eastAsia="黑体"/>
          <w:b/>
          <w:color w:val="auto"/>
          <w:sz w:val="72"/>
          <w:szCs w:val="32"/>
          <w:highlight w:val="none"/>
        </w:rPr>
        <w:t>公开招标文件</w:t>
      </w:r>
    </w:p>
    <w:p>
      <w:pPr>
        <w:jc w:val="center"/>
        <w:rPr>
          <w:color w:val="auto"/>
          <w:highlight w:val="none"/>
        </w:rPr>
      </w:pPr>
    </w:p>
    <w:p>
      <w:pPr>
        <w:jc w:val="center"/>
        <w:rPr>
          <w:color w:val="auto"/>
          <w:highlight w:val="none"/>
        </w:rPr>
      </w:pPr>
    </w:p>
    <w:p>
      <w:pPr>
        <w:rPr>
          <w:color w:val="auto"/>
          <w:highlight w:val="none"/>
        </w:rPr>
      </w:pPr>
    </w:p>
    <w:tbl>
      <w:tblPr>
        <w:tblStyle w:val="32"/>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7" w:hRule="atLeast"/>
        </w:trPr>
        <w:tc>
          <w:tcPr>
            <w:tcW w:w="2613" w:type="dxa"/>
            <w:vAlign w:val="center"/>
          </w:tcPr>
          <w:p>
            <w:pPr>
              <w:spacing w:before="200"/>
              <w:jc w:val="both"/>
              <w:rPr>
                <w:rFonts w:ascii="黑体" w:hAnsi="黑体" w:eastAsia="黑体"/>
                <w:bCs/>
                <w:color w:val="auto"/>
                <w:sz w:val="32"/>
                <w:szCs w:val="24"/>
                <w:highlight w:val="none"/>
              </w:rPr>
            </w:pPr>
            <w:r>
              <w:rPr>
                <w:rFonts w:hint="eastAsia" w:ascii="黑体" w:hAnsi="黑体" w:eastAsia="黑体"/>
                <w:bCs/>
                <w:color w:val="auto"/>
                <w:sz w:val="32"/>
                <w:szCs w:val="24"/>
                <w:highlight w:val="none"/>
              </w:rPr>
              <w:t>项目名称：</w:t>
            </w:r>
          </w:p>
        </w:tc>
        <w:tc>
          <w:tcPr>
            <w:tcW w:w="6203" w:type="dxa"/>
            <w:vAlign w:val="center"/>
          </w:tcPr>
          <w:p>
            <w:pPr>
              <w:spacing w:before="200"/>
              <w:jc w:val="both"/>
              <w:rPr>
                <w:rFonts w:hint="eastAsia" w:ascii="黑体" w:hAnsi="黑体" w:eastAsia="黑体"/>
                <w:bCs/>
                <w:color w:val="auto"/>
                <w:sz w:val="32"/>
                <w:szCs w:val="24"/>
                <w:highlight w:val="none"/>
                <w:lang w:eastAsia="zh-CN"/>
              </w:rPr>
            </w:pPr>
            <w:r>
              <w:rPr>
                <w:rFonts w:hint="eastAsia" w:ascii="黑体" w:hAnsi="黑体" w:eastAsia="黑体"/>
                <w:bCs/>
                <w:color w:val="auto"/>
                <w:sz w:val="32"/>
                <w:szCs w:val="24"/>
                <w:highlight w:val="none"/>
                <w:lang w:eastAsia="zh-CN"/>
              </w:rPr>
              <w:t>石排镇塘尾村视频监控升级改造项目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2613" w:type="dxa"/>
            <w:vAlign w:val="center"/>
          </w:tcPr>
          <w:p>
            <w:pPr>
              <w:spacing w:before="200"/>
              <w:jc w:val="both"/>
              <w:rPr>
                <w:rFonts w:ascii="黑体" w:hAnsi="黑体" w:eastAsia="黑体"/>
                <w:bCs/>
                <w:color w:val="auto"/>
                <w:sz w:val="32"/>
                <w:szCs w:val="24"/>
                <w:highlight w:val="none"/>
              </w:rPr>
            </w:pPr>
            <w:r>
              <w:rPr>
                <w:rFonts w:hint="eastAsia" w:ascii="黑体" w:hAnsi="黑体" w:eastAsia="黑体"/>
                <w:bCs/>
                <w:color w:val="auto"/>
                <w:sz w:val="32"/>
                <w:szCs w:val="24"/>
                <w:highlight w:val="none"/>
              </w:rPr>
              <w:t>项目编号：</w:t>
            </w:r>
          </w:p>
        </w:tc>
        <w:tc>
          <w:tcPr>
            <w:tcW w:w="6203" w:type="dxa"/>
            <w:vAlign w:val="center"/>
          </w:tcPr>
          <w:p>
            <w:pPr>
              <w:spacing w:before="200"/>
              <w:jc w:val="both"/>
              <w:rPr>
                <w:rFonts w:ascii="黑体" w:hAnsi="黑体" w:eastAsia="黑体"/>
                <w:bCs/>
                <w:color w:val="auto"/>
                <w:sz w:val="32"/>
                <w:szCs w:val="24"/>
                <w:highlight w:val="none"/>
              </w:rPr>
            </w:pPr>
            <w:r>
              <w:rPr>
                <w:rFonts w:hint="eastAsia" w:ascii="黑体" w:hAnsi="黑体" w:eastAsia="黑体"/>
                <w:bCs/>
                <w:color w:val="auto"/>
                <w:sz w:val="32"/>
                <w:szCs w:val="24"/>
                <w:highlight w:val="none"/>
              </w:rPr>
              <w:t xml:space="preserve">0832-SFCX21DG206C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9" w:hRule="atLeast"/>
        </w:trPr>
        <w:tc>
          <w:tcPr>
            <w:tcW w:w="2613" w:type="dxa"/>
            <w:vAlign w:val="center"/>
          </w:tcPr>
          <w:p>
            <w:pPr>
              <w:spacing w:before="200"/>
              <w:jc w:val="both"/>
              <w:rPr>
                <w:rFonts w:ascii="黑体" w:hAnsi="黑体" w:eastAsia="黑体"/>
                <w:bCs/>
                <w:color w:val="auto"/>
                <w:sz w:val="32"/>
                <w:szCs w:val="24"/>
                <w:highlight w:val="none"/>
              </w:rPr>
            </w:pPr>
            <w:r>
              <w:rPr>
                <w:rFonts w:hint="eastAsia" w:ascii="黑体" w:hAnsi="黑体" w:eastAsia="黑体"/>
                <w:bCs/>
                <w:color w:val="auto"/>
                <w:sz w:val="32"/>
                <w:szCs w:val="24"/>
                <w:highlight w:val="none"/>
              </w:rPr>
              <w:t>采购人：</w:t>
            </w:r>
          </w:p>
        </w:tc>
        <w:tc>
          <w:tcPr>
            <w:tcW w:w="6203" w:type="dxa"/>
            <w:vAlign w:val="center"/>
          </w:tcPr>
          <w:p>
            <w:pPr>
              <w:spacing w:before="200"/>
              <w:jc w:val="both"/>
              <w:rPr>
                <w:rFonts w:ascii="黑体" w:hAnsi="黑体" w:eastAsia="黑体"/>
                <w:bCs/>
                <w:color w:val="auto"/>
                <w:sz w:val="32"/>
                <w:szCs w:val="24"/>
                <w:highlight w:val="none"/>
              </w:rPr>
            </w:pPr>
            <w:r>
              <w:rPr>
                <w:rFonts w:hint="eastAsia" w:ascii="黑体" w:hAnsi="黑体" w:eastAsia="黑体"/>
                <w:bCs/>
                <w:color w:val="auto"/>
                <w:sz w:val="32"/>
                <w:szCs w:val="24"/>
                <w:highlight w:val="none"/>
              </w:rPr>
              <w:t>东莞市石排镇塘尾股份经济联合社</w:t>
            </w:r>
          </w:p>
        </w:tc>
      </w:tr>
    </w:tbl>
    <w:p>
      <w:pPr>
        <w:rPr>
          <w:rFonts w:ascii="Arial" w:hAnsi="Arial" w:eastAsia="黑体" w:cs="Arial"/>
          <w:bCs/>
          <w:color w:val="auto"/>
          <w:sz w:val="28"/>
          <w:highlight w:val="none"/>
        </w:rPr>
      </w:pPr>
      <w:r>
        <w:rPr>
          <w:rFonts w:hint="eastAsia" w:ascii="Arial" w:hAnsi="Arial" w:eastAsia="黑体" w:cs="Arial"/>
          <w:bCs/>
          <w:color w:val="auto"/>
          <w:sz w:val="28"/>
          <w:highlight w:val="none"/>
        </w:rPr>
        <w:t xml:space="preserve"> </w:t>
      </w:r>
    </w:p>
    <w:p>
      <w:pPr>
        <w:jc w:val="center"/>
        <w:rPr>
          <w:rFonts w:ascii="黑体" w:eastAsia="黑体"/>
          <w:color w:val="auto"/>
          <w:szCs w:val="21"/>
          <w:highlight w:val="none"/>
        </w:rPr>
      </w:pPr>
    </w:p>
    <w:p>
      <w:pPr>
        <w:jc w:val="center"/>
        <w:rPr>
          <w:rFonts w:ascii="黑体" w:eastAsia="黑体"/>
          <w:color w:val="auto"/>
          <w:szCs w:val="21"/>
          <w:highlight w:val="none"/>
        </w:rPr>
      </w:pPr>
    </w:p>
    <w:p>
      <w:pPr>
        <w:jc w:val="both"/>
        <w:rPr>
          <w:rFonts w:ascii="黑体" w:eastAsia="黑体"/>
          <w:color w:val="auto"/>
          <w:szCs w:val="21"/>
          <w:highlight w:val="none"/>
        </w:rPr>
      </w:pPr>
    </w:p>
    <w:p>
      <w:pPr>
        <w:jc w:val="center"/>
        <w:rPr>
          <w:rFonts w:ascii="黑体" w:eastAsia="黑体"/>
          <w:color w:val="auto"/>
          <w:sz w:val="52"/>
          <w:szCs w:val="44"/>
          <w:highlight w:val="none"/>
        </w:rPr>
      </w:pPr>
      <w:r>
        <w:rPr>
          <w:rFonts w:hint="eastAsia" w:ascii="黑体" w:eastAsia="黑体"/>
          <w:color w:val="auto"/>
          <w:sz w:val="52"/>
          <w:szCs w:val="44"/>
          <w:highlight w:val="none"/>
        </w:rPr>
        <w:t>三方诚信招标有限公司</w:t>
      </w:r>
    </w:p>
    <w:p>
      <w:pPr>
        <w:jc w:val="center"/>
        <w:rPr>
          <w:rFonts w:ascii="黑体" w:eastAsia="黑体"/>
          <w:color w:val="auto"/>
          <w:sz w:val="52"/>
          <w:szCs w:val="44"/>
          <w:highlight w:val="none"/>
        </w:rPr>
      </w:pPr>
      <w:r>
        <w:rPr>
          <w:rFonts w:hint="eastAsia" w:ascii="黑体" w:eastAsia="黑体"/>
          <w:color w:val="auto"/>
          <w:sz w:val="52"/>
          <w:szCs w:val="44"/>
          <w:highlight w:val="none"/>
        </w:rPr>
        <w:t>东莞分公司</w:t>
      </w:r>
    </w:p>
    <w:p>
      <w:pPr>
        <w:pStyle w:val="23"/>
        <w:rPr>
          <w:color w:val="auto"/>
          <w:sz w:val="32"/>
          <w:szCs w:val="32"/>
          <w:highlight w:val="none"/>
        </w:rPr>
        <w:sectPr>
          <w:headerReference r:id="rId5" w:type="default"/>
          <w:pgSz w:w="11906" w:h="16838"/>
          <w:pgMar w:top="1440" w:right="1800" w:bottom="1440" w:left="1800" w:header="708" w:footer="708" w:gutter="0"/>
          <w:pgNumType w:start="0"/>
          <w:cols w:space="720" w:num="1"/>
          <w:titlePg/>
          <w:docGrid w:type="lines" w:linePitch="360" w:charSpace="0"/>
        </w:sectPr>
      </w:pPr>
    </w:p>
    <w:p>
      <w:pPr>
        <w:pStyle w:val="23"/>
        <w:rPr>
          <w:color w:val="auto"/>
          <w:sz w:val="40"/>
          <w:szCs w:val="40"/>
          <w:highlight w:val="none"/>
        </w:rPr>
      </w:pPr>
      <w:r>
        <w:rPr>
          <w:rFonts w:hint="eastAsia"/>
          <w:color w:val="auto"/>
          <w:sz w:val="40"/>
          <w:szCs w:val="40"/>
          <w:highlight w:val="none"/>
        </w:rPr>
        <w:t>目录</w:t>
      </w:r>
    </w:p>
    <w:p>
      <w:pPr>
        <w:pStyle w:val="12"/>
        <w:tabs>
          <w:tab w:val="right" w:leader="dot" w:pos="8306"/>
          <w:tab w:val="clear" w:pos="8296"/>
        </w:tabs>
        <w:ind w:left="456" w:leftChars="200" w:hanging="16" w:hangingChars="8"/>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TOC \o "1-4" \h \z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_Toc6429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投标邀请书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_Toc6429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3"/>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_Toc11344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第二部分 相关资料表格</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_Toc11344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_Toc21840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附表一：投标资料表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_Toc21840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_Toc21492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附表二：商务技术评分及价格权重表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_Toc21492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3"/>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_Toc18127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第三部分 用户需求书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_Toc18127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3"/>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_Toc25260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第四部分 投标人须知</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_Toc25260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_Toc13325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一</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说明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_Toc13325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_Toc17228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1.适用范围</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_Toc17228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_Toc8986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2.定义</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_Toc8986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_Toc21507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3.货物和服务</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_Toc21507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_Toc9596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4.投标费用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_Toc9596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_Toc17633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5.知识产权</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_Toc17633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_Toc10738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6.关于联合体投标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_Toc10738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_Toc29934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7.关于分支机构投标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_Toc29934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_Toc6558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二</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招标文件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_Toc6558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_Toc32280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8.招标文件的组成</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_Toc32280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_Toc28349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9.招标文件的澄清或修改</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_Toc28349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_Toc16773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三</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投标文件的编制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_Toc16773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_Toc7734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10.投标文件的语言及度量衡单位</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_Toc7734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_Toc32627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11.投标文件的组成</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_Toc32627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_Toc21118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12.投标文件编制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_Toc21118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_Toc7944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13.投标报价说明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_Toc7944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_Toc10906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14.投标人所提供的服务或货物的证明文件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_Toc10906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_Toc11717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15.★投标有效期</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_Toc11717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_Toc1615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16.★投标保证金</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_Toc1615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_Toc7038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四</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投标文件的递交</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_Toc7038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_Toc28865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17.投标文件的装订，签署，密封和标记</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_Toc28865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_Toc7925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18.迟交的投标文件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_Toc7925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_Toc1293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19.投标样品（如需提交）</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_Toc1293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_Toc20635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20.投标截止期</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_Toc20635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_Toc17566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21.投标文件的补充、修改与撤回</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_Toc17566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_Toc13311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五</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开标与评标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_Toc13311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22.开标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_Toc28135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23.评标委员会及评标方法</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_Toc28135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_Toc3500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24.评审原则及评标过程的保密</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_Toc3500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_Toc5179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25.投标文件的初审</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_Toc5179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_Toc10147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26.商务、技术、价格评审（具体评审项目详见投标资料表）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_Toc10147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_Toc11805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27.优惠政策（本项目不适用）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_Toc11805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_Toc30411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28.纪律和保密事项</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_Toc30411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_Toc28130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六</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授予合同</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_Toc28130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_Toc9451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29.合同授予标准</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_Toc9451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_Toc15313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30.发布中标结果</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_Toc15313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_Toc20554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31.合同的签订与履行</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_Toc20554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_Toc8142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32.履约保证金</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_Toc8142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七</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询问或质疑</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_Toc18774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33.询问</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_Toc18774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_Toc22597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34.质疑</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_Toc22597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_Toc12417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八</w:t>
      </w:r>
      <w:r>
        <w:rPr>
          <w:rFonts w:hint="eastAsia" w:ascii="宋体" w:hAnsi="宋体" w:eastAsia="宋体" w:cs="宋体"/>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其他</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_Toc12417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bCs/>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_Toc9829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35.招标文件的解释权</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_Toc9829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3"/>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_Toc24543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第五部分 合同格式（仅供参考）</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_Toc24543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12"/>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_Toc23857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合同格式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_Toc23857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3"/>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_Toc13929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第六部分  附件－投标文件格式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_Toc13929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附件1.投标文件目录</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_Toc3048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_Toc10724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附件1-1 评分标准索引表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_Toc10724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_Toc28341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附件2.投标书格式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_Toc28341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_Toc5475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附件3.开标一览表格式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_Toc5475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_Toc15560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附件4. 投标分项报价表格式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_Toc15560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_Toc4283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附件5. 法定代表人证明书格式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_Toc4283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_Toc13693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附件6.法定代表人授权书格式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_Toc13693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_Toc22546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附件7.资格申明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_Toc22546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_Toc9656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附件8.营业执照</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_Toc9656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_Toc9416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附件9.相关资质证明文件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_Toc9416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_Toc5888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附件10. 商务条款偏离表格式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_Toc5888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_Toc15315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附件11. 技术规格偏离表格式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_Toc15315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59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_Toc15830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附件12.重要技术参数（▲）响应表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_Toc15830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_Toc2455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附件13.业绩表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_Toc2455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_Toc20654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附件14. 项目实施方案格式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_Toc20654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_Toc32072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附件15. 实施本项目的有关人员资料表格式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_Toc32072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_Toc31119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附件16.投标货物说明一览表格式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_Toc31119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_Toc10089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附件17.在经营活动中没有重大违法记录的书面声明格式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_Toc10089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_Toc31483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附件18. 中小企业声明函（投标人为中小企业时适用）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_Toc31483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_Toc22867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附件19.《残疾人福利性单位声明函》（残疾人福利性单位适用）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_Toc22867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69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_Toc8662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附件20. 投标保证金汇入情况说明格式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_Toc8662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_Toc4506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附件21.获取招标文件登记表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_Toc4506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pPr>
        <w:pStyle w:val="20"/>
        <w:tabs>
          <w:tab w:val="right" w:leader="dot" w:pos="8306"/>
          <w:tab w:val="clear" w:pos="8296"/>
        </w:tabs>
        <w:spacing w:before="72" w:beforeLines="20" w:after="72" w:afterLines="20"/>
        <w:ind w:left="0" w:leftChars="0"/>
        <w:jc w:val="both"/>
        <w:rPr>
          <w:rFonts w:cs="宋体"/>
          <w:color w:val="auto"/>
          <w:szCs w:val="21"/>
          <w:highlight w:val="none"/>
        </w:rPr>
      </w:pPr>
      <w:r>
        <w:rPr>
          <w:rFonts w:hint="eastAsia" w:ascii="宋体" w:hAnsi="宋体" w:eastAsia="宋体" w:cs="宋体"/>
          <w:color w:val="auto"/>
          <w:sz w:val="21"/>
          <w:szCs w:val="21"/>
          <w:highlight w:val="none"/>
          <w:lang w:val="en-US" w:eastAsia="zh-CN" w:bidi="ar-SA"/>
        </w:rPr>
        <w:fldChar w:fldCharType="end"/>
      </w:r>
    </w:p>
    <w:p>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23"/>
        <w:tabs>
          <w:tab w:val="right" w:leader="dot" w:pos="8306"/>
          <w:tab w:val="clear" w:pos="8296"/>
        </w:tabs>
        <w:spacing w:line="240" w:lineRule="auto"/>
        <w:ind w:left="0" w:leftChars="0"/>
        <w:jc w:val="both"/>
        <w:rPr>
          <w:rFonts w:ascii="Cambria" w:hAnsi="Cambria"/>
          <w:b/>
          <w:bCs/>
          <w:color w:val="auto"/>
          <w:sz w:val="28"/>
          <w:szCs w:val="28"/>
          <w:highlight w:val="none"/>
        </w:rPr>
      </w:pPr>
      <w:r>
        <w:rPr>
          <w:rFonts w:hint="eastAsia" w:ascii="Cambria" w:hAnsi="Cambria"/>
          <w:b/>
          <w:bCs/>
          <w:color w:val="auto"/>
          <w:sz w:val="28"/>
          <w:szCs w:val="28"/>
          <w:highlight w:val="none"/>
        </w:rPr>
        <w:t>第一部分 投标邀请</w:t>
      </w:r>
    </w:p>
    <w:p>
      <w:pPr>
        <w:pStyle w:val="4"/>
        <w:spacing w:before="0" w:after="0" w:line="360" w:lineRule="auto"/>
        <w:jc w:val="center"/>
        <w:rPr>
          <w:rFonts w:ascii="宋体" w:hAnsi="宋体" w:eastAsia="宋体" w:cs="宋体"/>
          <w:color w:val="auto"/>
          <w:highlight w:val="none"/>
        </w:rPr>
      </w:pPr>
      <w:bookmarkStart w:id="0" w:name="_Toc6429"/>
      <w:r>
        <w:rPr>
          <w:rFonts w:hint="eastAsia" w:ascii="宋体" w:hAnsi="宋体" w:eastAsia="宋体" w:cs="宋体"/>
          <w:color w:val="auto"/>
          <w:highlight w:val="none"/>
        </w:rPr>
        <w:t>投标邀请书</w:t>
      </w:r>
      <w:bookmarkEnd w:id="0"/>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三方诚信招标有限公司东莞分公司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eastAsia="宋体"/>
          <w:b/>
          <w:color w:val="auto"/>
          <w:sz w:val="21"/>
          <w:szCs w:val="21"/>
          <w:highlight w:val="none"/>
          <w:u w:val="single"/>
        </w:rPr>
        <w:t>东莞市石排镇塘尾股份经济联合社</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eastAsia="宋体"/>
          <w:b/>
          <w:color w:val="auto"/>
          <w:sz w:val="21"/>
          <w:szCs w:val="21"/>
          <w:highlight w:val="none"/>
          <w:u w:val="single"/>
          <w:lang w:eastAsia="zh-CN"/>
        </w:rPr>
        <w:t>石排镇塘尾村视频监控升级改造项目</w:t>
      </w: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u w:val="single"/>
          <w:lang w:eastAsia="zh-CN"/>
        </w:rPr>
        <w:t>项目编号：0832-SFCX21DG206C</w:t>
      </w:r>
      <w:r>
        <w:rPr>
          <w:rFonts w:hint="eastAsia" w:ascii="宋体" w:hAnsi="宋体" w:eastAsia="宋体"/>
          <w:color w:val="auto"/>
          <w:sz w:val="21"/>
          <w:szCs w:val="21"/>
          <w:highlight w:val="none"/>
        </w:rPr>
        <w:t>）</w:t>
      </w:r>
      <w:r>
        <w:rPr>
          <w:rFonts w:hint="eastAsia" w:ascii="宋体" w:hAnsi="宋体" w:eastAsia="宋体" w:cs="Times New Roman"/>
          <w:color w:val="auto"/>
          <w:sz w:val="21"/>
          <w:szCs w:val="21"/>
          <w:highlight w:val="none"/>
        </w:rPr>
        <w:t>进行国内公开招标采购</w:t>
      </w:r>
      <w:r>
        <w:rPr>
          <w:rFonts w:hint="eastAsia" w:ascii="宋体" w:hAnsi="宋体" w:eastAsia="宋体"/>
          <w:color w:val="auto"/>
          <w:sz w:val="21"/>
          <w:szCs w:val="21"/>
          <w:highlight w:val="none"/>
        </w:rPr>
        <w:t>，欢迎符合招标文件要求的国内投标人参加投标</w:t>
      </w:r>
      <w:r>
        <w:rPr>
          <w:rFonts w:ascii="宋体" w:hAnsi="宋体" w:eastAsia="宋体"/>
          <w:color w:val="auto"/>
          <w:sz w:val="21"/>
          <w:szCs w:val="21"/>
          <w:highlight w:val="none"/>
        </w:rPr>
        <w:t>。有关事项如下：</w:t>
      </w:r>
    </w:p>
    <w:p>
      <w:pPr>
        <w:spacing w:after="0" w:line="360" w:lineRule="auto"/>
        <w:ind w:firstLine="413" w:firstLineChars="196"/>
        <w:rPr>
          <w:rFonts w:ascii="宋体" w:hAnsi="宋体" w:eastAsia="宋体"/>
          <w:b/>
          <w:color w:val="auto"/>
          <w:sz w:val="21"/>
          <w:szCs w:val="21"/>
          <w:highlight w:val="none"/>
        </w:rPr>
      </w:pPr>
    </w:p>
    <w:p>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一、招标项目的名称、用途、简要技术要求或者招标项目的性质</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1、项目内容：</w:t>
      </w:r>
      <w:r>
        <w:rPr>
          <w:rFonts w:hint="eastAsia" w:ascii="宋体" w:hAnsi="宋体" w:eastAsia="宋体"/>
          <w:b/>
          <w:color w:val="auto"/>
          <w:sz w:val="21"/>
          <w:szCs w:val="21"/>
          <w:highlight w:val="none"/>
          <w:u w:val="single"/>
          <w:lang w:eastAsia="zh-CN"/>
        </w:rPr>
        <w:t>石排镇塘尾村视频监控升级改造项目</w:t>
      </w:r>
      <w:r>
        <w:rPr>
          <w:rFonts w:hint="eastAsia" w:ascii="宋体" w:hAnsi="宋体" w:eastAsia="宋体"/>
          <w:color w:val="auto"/>
          <w:sz w:val="21"/>
          <w:szCs w:val="21"/>
          <w:highlight w:val="none"/>
        </w:rPr>
        <w:t>采购一项，预算：</w:t>
      </w:r>
      <w:r>
        <w:rPr>
          <w:rFonts w:hint="eastAsia" w:ascii="宋体" w:hAnsi="宋体" w:eastAsia="宋体"/>
          <w:b/>
          <w:color w:val="auto"/>
          <w:sz w:val="21"/>
          <w:szCs w:val="21"/>
          <w:highlight w:val="none"/>
          <w:u w:val="single"/>
        </w:rPr>
        <w:t>人民币</w:t>
      </w:r>
      <w:r>
        <w:rPr>
          <w:rFonts w:hint="eastAsia" w:ascii="宋体" w:hAnsi="宋体" w:eastAsia="宋体"/>
          <w:b/>
          <w:color w:val="auto"/>
          <w:sz w:val="21"/>
          <w:szCs w:val="21"/>
          <w:highlight w:val="none"/>
          <w:u w:val="single"/>
          <w:lang w:val="en-US" w:eastAsia="zh-CN"/>
        </w:rPr>
        <w:t>壹佰叁拾捌万伍仟陆佰伍拾陆</w:t>
      </w:r>
      <w:r>
        <w:rPr>
          <w:rFonts w:hint="eastAsia" w:ascii="宋体" w:hAnsi="宋体" w:eastAsia="宋体"/>
          <w:b/>
          <w:color w:val="auto"/>
          <w:sz w:val="21"/>
          <w:szCs w:val="21"/>
          <w:highlight w:val="none"/>
          <w:u w:val="single"/>
        </w:rPr>
        <w:t>元整（¥1</w:t>
      </w:r>
      <w:r>
        <w:rPr>
          <w:rFonts w:hint="eastAsia" w:ascii="宋体" w:hAnsi="宋体" w:eastAsia="宋体"/>
          <w:b/>
          <w:color w:val="auto"/>
          <w:sz w:val="21"/>
          <w:szCs w:val="21"/>
          <w:highlight w:val="none"/>
          <w:u w:val="single"/>
          <w:lang w:val="en-US" w:eastAsia="zh-CN"/>
        </w:rPr>
        <w:t>,</w:t>
      </w:r>
      <w:r>
        <w:rPr>
          <w:rFonts w:hint="eastAsia" w:ascii="宋体" w:hAnsi="宋体" w:eastAsia="宋体"/>
          <w:b/>
          <w:color w:val="auto"/>
          <w:sz w:val="21"/>
          <w:szCs w:val="21"/>
          <w:highlight w:val="none"/>
          <w:u w:val="single"/>
        </w:rPr>
        <w:t>385</w:t>
      </w:r>
      <w:r>
        <w:rPr>
          <w:rFonts w:hint="eastAsia" w:ascii="宋体" w:hAnsi="宋体" w:eastAsia="宋体"/>
          <w:b/>
          <w:color w:val="auto"/>
          <w:sz w:val="21"/>
          <w:szCs w:val="21"/>
          <w:highlight w:val="none"/>
          <w:u w:val="single"/>
          <w:lang w:val="en-US" w:eastAsia="zh-CN"/>
        </w:rPr>
        <w:t>,</w:t>
      </w:r>
      <w:r>
        <w:rPr>
          <w:rFonts w:hint="eastAsia" w:ascii="宋体" w:hAnsi="宋体" w:eastAsia="宋体"/>
          <w:b/>
          <w:color w:val="auto"/>
          <w:sz w:val="21"/>
          <w:szCs w:val="21"/>
          <w:highlight w:val="none"/>
          <w:u w:val="single"/>
        </w:rPr>
        <w:t>656</w:t>
      </w:r>
      <w:r>
        <w:rPr>
          <w:rFonts w:hint="eastAsia" w:ascii="宋体" w:hAnsi="宋体" w:eastAsia="宋体"/>
          <w:b/>
          <w:color w:val="auto"/>
          <w:sz w:val="21"/>
          <w:szCs w:val="21"/>
          <w:highlight w:val="none"/>
          <w:u w:val="single"/>
          <w:lang w:val="en-US" w:eastAsia="zh-CN"/>
        </w:rPr>
        <w:t>.00</w:t>
      </w:r>
      <w:r>
        <w:rPr>
          <w:rFonts w:hint="eastAsia" w:ascii="宋体" w:hAnsi="宋体" w:eastAsia="宋体"/>
          <w:b/>
          <w:color w:val="auto"/>
          <w:sz w:val="21"/>
          <w:szCs w:val="21"/>
          <w:highlight w:val="none"/>
          <w:u w:val="single"/>
        </w:rPr>
        <w:t>）</w:t>
      </w:r>
      <w:r>
        <w:rPr>
          <w:rFonts w:hint="eastAsia" w:ascii="宋体" w:hAnsi="宋体" w:eastAsia="宋体"/>
          <w:color w:val="auto"/>
          <w:sz w:val="21"/>
          <w:szCs w:val="21"/>
          <w:highlight w:val="none"/>
        </w:rPr>
        <w:t>。</w:t>
      </w:r>
    </w:p>
    <w:p>
      <w:pPr>
        <w:spacing w:after="0" w:line="360" w:lineRule="auto"/>
        <w:ind w:firstLine="420" w:firstLineChars="200"/>
        <w:rPr>
          <w:rFonts w:ascii="宋体" w:hAnsi="宋体" w:eastAsia="宋体"/>
          <w:b/>
          <w:color w:val="auto"/>
          <w:sz w:val="21"/>
          <w:szCs w:val="21"/>
          <w:highlight w:val="none"/>
        </w:rPr>
      </w:pPr>
      <w:r>
        <w:rPr>
          <w:rFonts w:hint="eastAsia" w:ascii="宋体" w:hAnsi="宋体" w:eastAsia="宋体"/>
          <w:color w:val="auto"/>
          <w:sz w:val="21"/>
          <w:szCs w:val="21"/>
          <w:highlight w:val="none"/>
        </w:rPr>
        <w:t>2、简要技术要求或招标项目的性质：详细内容请参阅招标文件第三部分《用户需求书》。</w:t>
      </w:r>
    </w:p>
    <w:p>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二、投标人资格要求</w:t>
      </w:r>
    </w:p>
    <w:p>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（1）须符合《中华人民共和国政府采购法》第二十二条规定（需提供书面承诺）；</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（2）参加采购活动前三年内，在经营活动中没有重大违法记录（须提供书面声明）；</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投标人（含其上级或总公司）具有省级或以上公安部门颁发的《安全技术防范系统设计、施工、维修资格证》叁级或以上资质（非广东省企业须提供所在地省（自治区、直辖市）公安厅（局）发放的有效的叁级或以上安全技术防范系统设计、施工、维修资格证书，或者是省级或以上安防行业协会颁发的有效的叁级或以上安防工程企业设计施工维护能力证书及广东省公安部门颁发的同等级备案证明）。</w:t>
      </w:r>
    </w:p>
    <w:p>
      <w:pPr>
        <w:spacing w:after="0" w:line="360" w:lineRule="auto"/>
        <w:ind w:firstLine="413" w:firstLineChars="196"/>
        <w:rPr>
          <w:rFonts w:ascii="宋体" w:hAnsi="宋体" w:eastAsia="宋体"/>
          <w:b/>
          <w:color w:val="auto"/>
          <w:sz w:val="21"/>
          <w:szCs w:val="21"/>
          <w:highlight w:val="none"/>
        </w:rPr>
      </w:pPr>
    </w:p>
    <w:p>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三、项目公示时间、报名时间、地点、方式及招标文件售价</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1、项目公示时间：2021年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日起至2021年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16</w:t>
      </w:r>
      <w:r>
        <w:rPr>
          <w:rFonts w:hint="eastAsia" w:ascii="宋体" w:hAnsi="宋体" w:eastAsia="宋体"/>
          <w:color w:val="auto"/>
          <w:sz w:val="21"/>
          <w:szCs w:val="21"/>
          <w:highlight w:val="none"/>
        </w:rPr>
        <w:t>日。</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2、报名</w:t>
      </w:r>
      <w:r>
        <w:rPr>
          <w:rFonts w:ascii="宋体" w:hAnsi="宋体" w:eastAsia="宋体"/>
          <w:color w:val="auto"/>
          <w:sz w:val="21"/>
          <w:szCs w:val="21"/>
          <w:highlight w:val="none"/>
        </w:rPr>
        <w:t>时间：</w:t>
      </w:r>
      <w:r>
        <w:rPr>
          <w:rFonts w:hint="eastAsia" w:ascii="宋体" w:hAnsi="宋体" w:eastAsia="宋体"/>
          <w:color w:val="auto"/>
          <w:sz w:val="21"/>
          <w:szCs w:val="21"/>
          <w:highlight w:val="none"/>
        </w:rPr>
        <w:t>2021年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日起至2021年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16</w:t>
      </w:r>
      <w:r>
        <w:rPr>
          <w:rFonts w:hint="eastAsia" w:ascii="宋体" w:hAnsi="宋体" w:eastAsia="宋体"/>
          <w:color w:val="auto"/>
          <w:sz w:val="21"/>
          <w:szCs w:val="21"/>
          <w:highlight w:val="none"/>
        </w:rPr>
        <w:t xml:space="preserve">日（节假日除外），上午9：00～12：00，下午14：30～17：30（北京时间）。 </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3、项目报名地点：东莞市南城街道鸿福西路81号国际商会大厦706室。</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联系人：黄雯静</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联系电话：0769-21682660</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4、报名方式：现场报名。</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投标人在购买招标文件时须提供如下证明材料：《营业执照》复印件（加盖公章）或《事业单位法人证书》复印件（加盖公章）或其他主体证书复印件（加盖公章）.</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5、招标文件售价：每套人民币200元。</w:t>
      </w:r>
    </w:p>
    <w:p>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6、购买了招标文件，而不参加投标的投标人，请在开标日期三日前以纸质版形式通知采购代理机构。</w:t>
      </w:r>
    </w:p>
    <w:p>
      <w:pPr>
        <w:spacing w:after="0" w:line="360" w:lineRule="auto"/>
        <w:ind w:firstLine="411" w:firstLineChars="196"/>
        <w:rPr>
          <w:rFonts w:ascii="宋体" w:hAnsi="宋体" w:eastAsia="宋体"/>
          <w:color w:val="auto"/>
          <w:sz w:val="21"/>
          <w:szCs w:val="21"/>
          <w:highlight w:val="none"/>
        </w:rPr>
      </w:pPr>
    </w:p>
    <w:p>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四、投标截止时间、开标时间及地点</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1、递交投标文件时间：2021年</w:t>
      </w:r>
      <w:r>
        <w:rPr>
          <w:rFonts w:hint="eastAsia" w:ascii="宋体" w:hAnsi="宋体" w:eastAsia="宋体"/>
          <w:bCs/>
          <w:color w:val="auto"/>
          <w:sz w:val="21"/>
          <w:szCs w:val="21"/>
          <w:highlight w:val="none"/>
          <w:lang w:val="en-US" w:eastAsia="zh-CN"/>
        </w:rPr>
        <w:t>9</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30</w:t>
      </w:r>
      <w:r>
        <w:rPr>
          <w:rFonts w:hint="eastAsia" w:ascii="宋体" w:hAnsi="宋体" w:eastAsia="宋体"/>
          <w:bCs/>
          <w:color w:val="auto"/>
          <w:sz w:val="21"/>
          <w:szCs w:val="21"/>
          <w:highlight w:val="none"/>
        </w:rPr>
        <w:t>日</w:t>
      </w:r>
      <w:r>
        <w:rPr>
          <w:rFonts w:hint="eastAsia" w:ascii="宋体" w:hAnsi="宋体" w:eastAsia="宋体"/>
          <w:bCs/>
          <w:color w:val="auto"/>
          <w:sz w:val="21"/>
          <w:szCs w:val="21"/>
          <w:highlight w:val="none"/>
          <w:lang w:val="en-US" w:eastAsia="zh-CN"/>
        </w:rPr>
        <w:t xml:space="preserve"> </w:t>
      </w:r>
      <w:r>
        <w:rPr>
          <w:rFonts w:hint="eastAsia" w:ascii="宋体" w:hAnsi="宋体" w:eastAsia="宋体"/>
          <w:bCs/>
          <w:color w:val="auto"/>
          <w:sz w:val="21"/>
          <w:szCs w:val="21"/>
          <w:highlight w:val="none"/>
        </w:rPr>
        <w:t>下午14：</w:t>
      </w:r>
      <w:r>
        <w:rPr>
          <w:rFonts w:hint="eastAsia" w:ascii="宋体" w:hAnsi="宋体" w:eastAsia="宋体"/>
          <w:bCs/>
          <w:color w:val="auto"/>
          <w:sz w:val="21"/>
          <w:szCs w:val="21"/>
          <w:highlight w:val="none"/>
          <w:lang w:val="en-US" w:eastAsia="zh-CN"/>
        </w:rPr>
        <w:t>3</w:t>
      </w:r>
      <w:r>
        <w:rPr>
          <w:rFonts w:hint="eastAsia" w:ascii="宋体" w:hAnsi="宋体" w:eastAsia="宋体"/>
          <w:bCs/>
          <w:color w:val="auto"/>
          <w:sz w:val="21"/>
          <w:szCs w:val="21"/>
          <w:highlight w:val="none"/>
        </w:rPr>
        <w:t>0～14：</w:t>
      </w:r>
      <w:r>
        <w:rPr>
          <w:rFonts w:hint="eastAsia" w:ascii="宋体" w:hAnsi="宋体" w:eastAsia="宋体"/>
          <w:bCs/>
          <w:color w:val="auto"/>
          <w:sz w:val="21"/>
          <w:szCs w:val="21"/>
          <w:highlight w:val="none"/>
          <w:lang w:val="en-US" w:eastAsia="zh-CN"/>
        </w:rPr>
        <w:t>0</w:t>
      </w:r>
      <w:r>
        <w:rPr>
          <w:rFonts w:hint="eastAsia" w:ascii="宋体" w:hAnsi="宋体" w:eastAsia="宋体"/>
          <w:bCs/>
          <w:color w:val="auto"/>
          <w:sz w:val="21"/>
          <w:szCs w:val="21"/>
          <w:highlight w:val="none"/>
        </w:rPr>
        <w:t>0。</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ascii="宋体" w:hAnsi="宋体" w:eastAsia="宋体"/>
          <w:bCs/>
          <w:color w:val="auto"/>
          <w:sz w:val="21"/>
          <w:szCs w:val="21"/>
          <w:highlight w:val="none"/>
        </w:rPr>
        <w:t>投标截止</w:t>
      </w:r>
      <w:r>
        <w:rPr>
          <w:rFonts w:hint="eastAsia" w:ascii="宋体" w:hAnsi="宋体" w:eastAsia="宋体"/>
          <w:bCs/>
          <w:color w:val="auto"/>
          <w:sz w:val="21"/>
          <w:szCs w:val="21"/>
          <w:highlight w:val="none"/>
        </w:rPr>
        <w:t>及开标时间：2021年</w:t>
      </w:r>
      <w:r>
        <w:rPr>
          <w:rFonts w:hint="eastAsia" w:ascii="宋体" w:hAnsi="宋体" w:eastAsia="宋体"/>
          <w:bCs/>
          <w:color w:val="auto"/>
          <w:sz w:val="21"/>
          <w:szCs w:val="21"/>
          <w:highlight w:val="none"/>
          <w:lang w:val="en-US" w:eastAsia="zh-CN"/>
        </w:rPr>
        <w:t>9</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30</w:t>
      </w:r>
      <w:r>
        <w:rPr>
          <w:rFonts w:hint="eastAsia" w:ascii="宋体" w:hAnsi="宋体" w:eastAsia="宋体"/>
          <w:bCs/>
          <w:color w:val="auto"/>
          <w:sz w:val="21"/>
          <w:szCs w:val="21"/>
          <w:highlight w:val="none"/>
        </w:rPr>
        <w:t>日</w:t>
      </w:r>
      <w:r>
        <w:rPr>
          <w:rFonts w:hint="eastAsia" w:ascii="宋体" w:hAnsi="宋体" w:eastAsia="宋体"/>
          <w:bCs/>
          <w:color w:val="auto"/>
          <w:sz w:val="21"/>
          <w:szCs w:val="21"/>
          <w:highlight w:val="none"/>
          <w:lang w:val="en-US" w:eastAsia="zh-CN"/>
        </w:rPr>
        <w:t xml:space="preserve"> </w:t>
      </w:r>
      <w:r>
        <w:rPr>
          <w:rFonts w:hint="eastAsia" w:ascii="宋体" w:hAnsi="宋体" w:eastAsia="宋体"/>
          <w:bCs/>
          <w:color w:val="auto"/>
          <w:sz w:val="21"/>
          <w:szCs w:val="21"/>
          <w:highlight w:val="none"/>
        </w:rPr>
        <w:t>下午1</w:t>
      </w:r>
      <w:r>
        <w:rPr>
          <w:rFonts w:hint="eastAsia" w:ascii="宋体" w:hAnsi="宋体" w:eastAsia="宋体"/>
          <w:bCs/>
          <w:color w:val="auto"/>
          <w:sz w:val="21"/>
          <w:szCs w:val="21"/>
          <w:highlight w:val="none"/>
          <w:lang w:val="en-US" w:eastAsia="zh-CN"/>
        </w:rPr>
        <w:t>5</w:t>
      </w:r>
      <w:r>
        <w:rPr>
          <w:rFonts w:hint="eastAsia" w:ascii="宋体" w:hAnsi="宋体" w:eastAsia="宋体"/>
          <w:bCs/>
          <w:color w:val="auto"/>
          <w:sz w:val="21"/>
          <w:szCs w:val="21"/>
          <w:highlight w:val="none"/>
        </w:rPr>
        <w:t>时</w:t>
      </w:r>
      <w:r>
        <w:rPr>
          <w:rFonts w:hint="eastAsia" w:ascii="宋体" w:hAnsi="宋体" w:eastAsia="宋体"/>
          <w:bCs/>
          <w:color w:val="auto"/>
          <w:sz w:val="21"/>
          <w:szCs w:val="21"/>
          <w:highlight w:val="none"/>
          <w:lang w:val="en-US" w:eastAsia="zh-CN"/>
        </w:rPr>
        <w:t>0</w:t>
      </w:r>
      <w:r>
        <w:rPr>
          <w:rFonts w:hint="eastAsia" w:ascii="宋体" w:hAnsi="宋体" w:eastAsia="宋体"/>
          <w:bCs/>
          <w:color w:val="auto"/>
          <w:sz w:val="21"/>
          <w:szCs w:val="21"/>
          <w:highlight w:val="none"/>
        </w:rPr>
        <w:t>0分。</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ascii="宋体" w:hAnsi="宋体" w:eastAsia="宋体"/>
          <w:bCs/>
          <w:color w:val="auto"/>
          <w:sz w:val="21"/>
          <w:szCs w:val="21"/>
          <w:highlight w:val="none"/>
        </w:rPr>
        <w:t>开标地点：</w:t>
      </w:r>
      <w:r>
        <w:rPr>
          <w:rFonts w:hint="eastAsia" w:ascii="宋体" w:hAnsi="宋体" w:eastAsia="宋体"/>
          <w:bCs/>
          <w:color w:val="auto"/>
          <w:sz w:val="21"/>
          <w:szCs w:val="21"/>
          <w:highlight w:val="none"/>
        </w:rPr>
        <w:t>东莞市石排镇人民政府(石排大道497号)原市民办事中心二楼集体资产交易中心。</w:t>
      </w:r>
    </w:p>
    <w:p>
      <w:pPr>
        <w:spacing w:after="0" w:line="360" w:lineRule="auto"/>
        <w:ind w:firstLine="411" w:firstLineChars="196"/>
        <w:rPr>
          <w:rFonts w:ascii="宋体" w:hAnsi="宋体" w:eastAsia="宋体"/>
          <w:bCs/>
          <w:color w:val="auto"/>
          <w:sz w:val="21"/>
          <w:szCs w:val="21"/>
          <w:highlight w:val="none"/>
        </w:rPr>
      </w:pPr>
    </w:p>
    <w:p>
      <w:pPr>
        <w:spacing w:after="0" w:line="360" w:lineRule="auto"/>
        <w:ind w:firstLine="413" w:firstLineChars="196"/>
        <w:rPr>
          <w:rFonts w:ascii="宋体" w:hAnsi="宋体" w:eastAsia="宋体"/>
          <w:bCs/>
          <w:color w:val="auto"/>
          <w:sz w:val="21"/>
          <w:szCs w:val="21"/>
          <w:highlight w:val="none"/>
        </w:rPr>
      </w:pPr>
      <w:r>
        <w:rPr>
          <w:rFonts w:hint="eastAsia" w:ascii="宋体" w:hAnsi="宋体" w:eastAsia="宋体"/>
          <w:b/>
          <w:color w:val="auto"/>
          <w:sz w:val="21"/>
          <w:szCs w:val="21"/>
          <w:highlight w:val="none"/>
        </w:rPr>
        <w:t>五、采购人及采购代理机构的名称、地址和联系方法：</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采购人联系人：李先生</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地址：东莞市石排镇塘尾村</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联系电话：</w:t>
      </w:r>
      <w:r>
        <w:rPr>
          <w:rFonts w:hint="eastAsia" w:ascii="宋体" w:hAnsi="宋体" w:eastAsia="宋体"/>
          <w:color w:val="auto"/>
          <w:sz w:val="21"/>
          <w:szCs w:val="21"/>
          <w:highlight w:val="none"/>
        </w:rPr>
        <w:t>0769-86651703</w:t>
      </w:r>
    </w:p>
    <w:p>
      <w:pPr>
        <w:spacing w:after="0" w:line="360" w:lineRule="auto"/>
        <w:ind w:firstLine="420" w:firstLineChars="200"/>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采购代理机构名称：三方诚信招标有限公司东莞分公司</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地址：东莞市南城街道鸿福西路81号国际商会大厦706室。</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采购代理机构联系人：黎灼峰</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联系电话：0769-21682660</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E－ mail：406288269@qq.com</w:t>
      </w:r>
    </w:p>
    <w:p>
      <w:pPr>
        <w:spacing w:after="0" w:line="360" w:lineRule="auto"/>
        <w:ind w:firstLine="440" w:firstLineChars="200"/>
        <w:rPr>
          <w:rFonts w:eastAsia="宋体"/>
          <w:color w:val="auto"/>
          <w:highlight w:val="none"/>
        </w:rPr>
      </w:pPr>
    </w:p>
    <w:p>
      <w:pPr>
        <w:spacing w:line="360" w:lineRule="auto"/>
        <w:ind w:right="788" w:rightChars="358"/>
        <w:jc w:val="both"/>
        <w:rPr>
          <w:color w:val="auto"/>
          <w:highlight w:val="none"/>
        </w:rPr>
      </w:pPr>
    </w:p>
    <w:p>
      <w:pPr>
        <w:spacing w:line="360" w:lineRule="auto"/>
        <w:ind w:right="788" w:rightChars="358"/>
        <w:jc w:val="righ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三方诚信招标有限公司东莞分公司</w:t>
      </w:r>
    </w:p>
    <w:p>
      <w:pPr>
        <w:spacing w:line="360" w:lineRule="auto"/>
        <w:ind w:left="6479" w:leftChars="2945"/>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2021年8月</w:t>
      </w:r>
    </w:p>
    <w:p>
      <w:pPr>
        <w:ind w:left="6481" w:leftChars="2755" w:hanging="420" w:hangingChars="200"/>
        <w:rPr>
          <w:rFonts w:ascii="黑体" w:hAnsi="宋体" w:eastAsia="黑体"/>
          <w:color w:val="auto"/>
          <w:highlight w:val="none"/>
        </w:rPr>
      </w:pPr>
      <w:r>
        <w:rPr>
          <w:rFonts w:hint="eastAsia" w:ascii="宋体" w:hAnsi="宋体" w:eastAsia="宋体" w:cs="宋体"/>
          <w:color w:val="auto"/>
          <w:sz w:val="21"/>
          <w:szCs w:val="21"/>
          <w:highlight w:val="none"/>
        </w:rPr>
        <w:br w:type="page"/>
      </w:r>
    </w:p>
    <w:p>
      <w:pPr>
        <w:pStyle w:val="3"/>
        <w:spacing w:before="0" w:after="0" w:line="240" w:lineRule="auto"/>
        <w:rPr>
          <w:color w:val="auto"/>
          <w:sz w:val="28"/>
          <w:szCs w:val="28"/>
          <w:highlight w:val="none"/>
        </w:rPr>
      </w:pPr>
      <w:bookmarkStart w:id="1" w:name="_Toc11344"/>
      <w:r>
        <w:rPr>
          <w:rFonts w:hint="eastAsia"/>
          <w:color w:val="auto"/>
          <w:sz w:val="28"/>
          <w:szCs w:val="28"/>
          <w:highlight w:val="none"/>
        </w:rPr>
        <w:t>第二部分 相关资料表格</w:t>
      </w:r>
      <w:bookmarkEnd w:id="1"/>
    </w:p>
    <w:p>
      <w:pPr>
        <w:pStyle w:val="4"/>
        <w:spacing w:before="0" w:after="0" w:line="240" w:lineRule="auto"/>
        <w:jc w:val="center"/>
        <w:rPr>
          <w:rFonts w:ascii="宋体" w:hAnsi="宋体" w:eastAsia="宋体" w:cs="宋体"/>
          <w:color w:val="auto"/>
          <w:sz w:val="24"/>
          <w:szCs w:val="24"/>
          <w:highlight w:val="none"/>
        </w:rPr>
      </w:pPr>
      <w:bookmarkStart w:id="2" w:name="_Toc21840"/>
      <w:r>
        <w:rPr>
          <w:rFonts w:hint="eastAsia" w:ascii="宋体" w:hAnsi="宋体" w:eastAsia="宋体" w:cs="宋体"/>
          <w:color w:val="auto"/>
          <w:sz w:val="24"/>
          <w:szCs w:val="24"/>
          <w:highlight w:val="none"/>
        </w:rPr>
        <w:t>附表一：投标资料表</w:t>
      </w:r>
      <w:bookmarkEnd w:id="2"/>
    </w:p>
    <w:tbl>
      <w:tblPr>
        <w:tblStyle w:val="31"/>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7"/>
        <w:gridCol w:w="1157"/>
        <w:gridCol w:w="3768"/>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w:t>
            </w:r>
            <w:r>
              <w:rPr>
                <w:rFonts w:ascii="宋体" w:hAnsi="宋体" w:eastAsia="宋体"/>
                <w:b/>
                <w:color w:val="auto"/>
                <w:sz w:val="21"/>
                <w:szCs w:val="21"/>
                <w:highlight w:val="none"/>
              </w:rPr>
              <w:t xml:space="preserve">      </w:t>
            </w:r>
            <w:r>
              <w:rPr>
                <w:rFonts w:hint="eastAsia" w:ascii="宋体" w:hAnsi="宋体" w:eastAsia="宋体"/>
                <w:b/>
                <w:color w:val="auto"/>
                <w:sz w:val="21"/>
                <w:szCs w:val="21"/>
                <w:highlight w:val="none"/>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cantSplit/>
          <w:trHeight w:val="551"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Cs/>
                <w:color w:val="auto"/>
                <w:sz w:val="21"/>
                <w:szCs w:val="21"/>
                <w:highlight w:val="none"/>
              </w:rPr>
            </w:pPr>
            <w:r>
              <w:rPr>
                <w:rFonts w:hint="eastAsia" w:ascii="宋体" w:hAnsi="宋体" w:eastAsia="宋体"/>
                <w:bCs/>
                <w:color w:val="auto"/>
                <w:sz w:val="21"/>
                <w:szCs w:val="21"/>
                <w:highlight w:val="none"/>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rPr>
              <w:t xml:space="preserve">   工程</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rPr>
              <w:t xml:space="preserve">   服务</w:t>
            </w:r>
            <w:r>
              <w:rPr>
                <w:rFonts w:hint="eastAsia" w:ascii="宋体" w:hAnsi="宋体" w:eastAsia="宋体"/>
                <w:bCs/>
                <w:color w:val="auto"/>
                <w:sz w:val="21"/>
                <w:szCs w:val="21"/>
                <w:highlight w:val="none"/>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color w:val="auto"/>
                <w:sz w:val="21"/>
                <w:szCs w:val="21"/>
                <w:highlight w:val="none"/>
              </w:rPr>
              <w:t>自筹资金。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4</w:t>
            </w:r>
          </w:p>
        </w:tc>
        <w:tc>
          <w:tcPr>
            <w:tcW w:w="7532" w:type="dxa"/>
            <w:gridSpan w:val="3"/>
            <w:vAlign w:val="center"/>
          </w:tcPr>
          <w:p>
            <w:pPr>
              <w:spacing w:after="0"/>
              <w:rPr>
                <w:rFonts w:ascii="宋体" w:hAnsi="宋体" w:eastAsia="宋体"/>
                <w:color w:val="auto"/>
                <w:sz w:val="21"/>
                <w:szCs w:val="21"/>
                <w:highlight w:val="none"/>
              </w:rPr>
            </w:pPr>
            <w:r>
              <w:rPr>
                <w:rFonts w:hint="eastAsia" w:ascii="宋体" w:hAnsi="宋体" w:eastAsia="宋体"/>
                <w:b/>
                <w:color w:val="auto"/>
                <w:sz w:val="21"/>
                <w:szCs w:val="21"/>
                <w:highlight w:val="none"/>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color w:val="auto"/>
                <w:sz w:val="21"/>
                <w:szCs w:val="21"/>
                <w:highlight w:val="none"/>
              </w:rPr>
            </w:pPr>
            <w:r>
              <w:rPr>
                <w:rFonts w:hint="eastAsia" w:ascii="宋体" w:hAnsi="宋体" w:eastAsia="宋体"/>
                <w:bCs/>
                <w:color w:val="auto"/>
                <w:sz w:val="21"/>
                <w:szCs w:val="21"/>
                <w:highlight w:val="none"/>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rPr>
              <w:t xml:space="preserve">    否</w:t>
            </w:r>
            <w:r>
              <w:rPr>
                <w:rFonts w:hint="eastAsia" w:ascii="宋体" w:hAnsi="宋体" w:eastAsia="宋体"/>
                <w:bCs/>
                <w:color w:val="auto"/>
                <w:sz w:val="21"/>
                <w:szCs w:val="21"/>
                <w:highlight w:val="none"/>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5</w:t>
            </w: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6</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三方诚信招标网</w:t>
            </w:r>
          </w:p>
        </w:tc>
        <w:tc>
          <w:tcPr>
            <w:tcW w:w="376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Cs/>
                <w:color w:val="auto"/>
                <w:sz w:val="21"/>
                <w:szCs w:val="21"/>
                <w:highlight w:val="none"/>
              </w:rPr>
              <w:t>http://www.sfcx.cn/</w:t>
            </w:r>
          </w:p>
        </w:tc>
        <w:tc>
          <w:tcPr>
            <w:tcW w:w="3768" w:type="dxa"/>
            <w:vAlign w:val="center"/>
          </w:tcPr>
          <w:p>
            <w:pPr>
              <w:spacing w:after="0"/>
              <w:jc w:val="center"/>
              <w:rPr>
                <w:rFonts w:ascii="宋体" w:hAnsi="宋体" w:eastAsia="宋体"/>
                <w:b/>
                <w:color w:val="auto"/>
                <w:sz w:val="21"/>
                <w:szCs w:val="21"/>
                <w:highlight w:val="none"/>
              </w:rPr>
            </w:pPr>
            <w:r>
              <w:rPr>
                <w:rFonts w:ascii="宋体" w:hAnsi="宋体" w:eastAsia="宋体"/>
                <w:color w:val="auto"/>
                <w:sz w:val="21"/>
                <w:szCs w:val="21"/>
                <w:highlight w:val="none"/>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cantSplit/>
          <w:trHeight w:val="845"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7</w:t>
            </w: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8</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9</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10</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11</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（1）投标保证金金额：</w:t>
            </w:r>
            <w:r>
              <w:rPr>
                <w:rFonts w:hint="eastAsia" w:ascii="宋体" w:hAnsi="宋体" w:eastAsia="宋体"/>
                <w:b/>
                <w:bCs/>
                <w:color w:val="auto"/>
                <w:sz w:val="21"/>
                <w:szCs w:val="21"/>
                <w:highlight w:val="none"/>
              </w:rPr>
              <w:t>人民币壹万伍仟元整（￥15,000.00）</w:t>
            </w:r>
            <w:r>
              <w:rPr>
                <w:rFonts w:hint="eastAsia" w:ascii="宋体" w:hAnsi="宋体" w:eastAsia="宋体"/>
                <w:color w:val="auto"/>
                <w:sz w:val="21"/>
                <w:szCs w:val="21"/>
                <w:highlight w:val="none"/>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val="zh-CN"/>
              </w:rPr>
              <w:t>投标保证金须严格按“招标文件第</w:t>
            </w:r>
            <w:r>
              <w:rPr>
                <w:rFonts w:hint="eastAsia" w:ascii="宋体" w:hAnsi="宋体" w:eastAsia="宋体"/>
                <w:color w:val="auto"/>
                <w:sz w:val="21"/>
                <w:szCs w:val="21"/>
                <w:highlight w:val="none"/>
              </w:rPr>
              <w:t>四部分投</w:t>
            </w:r>
            <w:r>
              <w:rPr>
                <w:rFonts w:hint="eastAsia" w:ascii="宋体" w:hAnsi="宋体" w:eastAsia="宋体"/>
                <w:color w:val="auto"/>
                <w:sz w:val="21"/>
                <w:szCs w:val="21"/>
                <w:highlight w:val="none"/>
                <w:lang w:val="zh-CN"/>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（3）保证金递交账户：</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收款人：三方诚信招标有限公司东莞分公司</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开户行：广发银行股份有限公司东莞南城支行</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帐  号：6232590699050038619</w:t>
            </w:r>
            <w:r>
              <w:rPr>
                <w:rFonts w:hint="eastAsia" w:ascii="宋体" w:hAnsi="宋体" w:eastAsia="宋体"/>
                <w:color w:val="auto"/>
                <w:sz w:val="21"/>
                <w:szCs w:val="21"/>
                <w:highlight w:val="none"/>
              </w:rPr>
              <w:t xml:space="preserve"> </w:t>
            </w:r>
          </w:p>
          <w:p>
            <w:pPr>
              <w:spacing w:after="0"/>
              <w:jc w:val="both"/>
              <w:rPr>
                <w:color w:val="auto"/>
                <w:highlight w:val="none"/>
              </w:rPr>
            </w:pPr>
            <w:r>
              <w:rPr>
                <w:rFonts w:hint="eastAsia" w:ascii="宋体" w:hAnsi="宋体" w:eastAsia="宋体"/>
                <w:color w:val="auto"/>
                <w:sz w:val="21"/>
                <w:szCs w:val="21"/>
                <w:highlight w:val="none"/>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12</w:t>
            </w:r>
          </w:p>
        </w:tc>
        <w:tc>
          <w:tcPr>
            <w:tcW w:w="7532" w:type="dxa"/>
            <w:gridSpan w:val="3"/>
            <w:vAlign w:val="center"/>
          </w:tcPr>
          <w:p>
            <w:pPr>
              <w:spacing w:after="0"/>
              <w:jc w:val="both"/>
              <w:rPr>
                <w:rFonts w:ascii="宋体" w:hAnsi="宋体" w:eastAsia="宋体"/>
                <w:b/>
                <w:bCs/>
                <w:color w:val="auto"/>
                <w:sz w:val="21"/>
                <w:szCs w:val="21"/>
                <w:highlight w:val="none"/>
                <w:lang w:val="zh-CN"/>
              </w:rPr>
            </w:pPr>
            <w:r>
              <w:rPr>
                <w:rFonts w:hint="eastAsia" w:ascii="宋体" w:hAnsi="宋体" w:eastAsia="宋体"/>
                <w:b/>
                <w:bCs/>
                <w:color w:val="auto"/>
                <w:sz w:val="21"/>
                <w:szCs w:val="21"/>
                <w:highlight w:val="none"/>
                <w:lang w:val="zh-CN"/>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val="zh-CN"/>
              </w:rPr>
              <w:t>）未中标的投标人的保证金在采购结果公示发出后5个工作日内退还，中标投标人的保证金在采购合同签订后5个工作日内退还。</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val="zh-CN"/>
              </w:rPr>
              <w:t>）为方便退还未中标的投保人的保证金，投标人应制作《投标保证金汇入情况说明》随开标文件一并递交。</w:t>
            </w:r>
          </w:p>
          <w:p>
            <w:pPr>
              <w:spacing w:after="0"/>
              <w:jc w:val="both"/>
              <w:rPr>
                <w:rFonts w:eastAsia="宋体"/>
                <w:color w:val="auto"/>
                <w:highlight w:val="none"/>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3</w:t>
            </w:r>
            <w:r>
              <w:rPr>
                <w:rFonts w:hint="eastAsia" w:ascii="宋体" w:hAnsi="宋体" w:eastAsia="宋体"/>
                <w:color w:val="auto"/>
                <w:sz w:val="21"/>
                <w:szCs w:val="21"/>
                <w:highlight w:val="none"/>
                <w:lang w:val="zh-CN"/>
              </w:rPr>
              <w:t>）投标保证金退还联系电话：</w:t>
            </w:r>
            <w:r>
              <w:rPr>
                <w:rFonts w:hint="eastAsia" w:ascii="宋体" w:hAnsi="宋体" w:eastAsia="宋体"/>
                <w:color w:val="auto"/>
                <w:sz w:val="21"/>
                <w:szCs w:val="21"/>
                <w:highlight w:val="none"/>
              </w:rPr>
              <w:t>0769-21682660-801。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13</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14</w:t>
            </w:r>
          </w:p>
        </w:tc>
        <w:tc>
          <w:tcPr>
            <w:tcW w:w="7532" w:type="dxa"/>
            <w:gridSpan w:val="3"/>
            <w:vAlign w:val="center"/>
          </w:tcPr>
          <w:p>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4" w:type="dxa"/>
            <w:gridSpan w:val="2"/>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8" w:type="dxa"/>
            <w:vAlign w:val="center"/>
          </w:tcPr>
          <w:p>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15</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7"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投标文件类型</w:t>
            </w:r>
          </w:p>
        </w:tc>
        <w:tc>
          <w:tcPr>
            <w:tcW w:w="4925"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7"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开标文件</w:t>
            </w:r>
          </w:p>
        </w:tc>
        <w:tc>
          <w:tcPr>
            <w:tcW w:w="4925"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7"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投标文件正本</w:t>
            </w:r>
          </w:p>
        </w:tc>
        <w:tc>
          <w:tcPr>
            <w:tcW w:w="4925"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7"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投标文件副本</w:t>
            </w:r>
          </w:p>
        </w:tc>
        <w:tc>
          <w:tcPr>
            <w:tcW w:w="4925"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7"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5"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857"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16</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17</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见附表二。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ascii="宋体" w:hAnsi="宋体" w:eastAsia="宋体"/>
                <w:color w:val="auto"/>
                <w:sz w:val="21"/>
                <w:szCs w:val="21"/>
                <w:highlight w:val="none"/>
              </w:rPr>
            </w:pPr>
          </w:p>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18（本项目不适用）</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bCs/>
                <w:color w:val="auto"/>
                <w:sz w:val="21"/>
                <w:szCs w:val="21"/>
                <w:highlight w:val="none"/>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cantSplit/>
          <w:trHeight w:val="817"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19</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20</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697"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开户银行：中国工商银行东莞市分行</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Ex>
        <w:trPr>
          <w:trHeight w:val="820" w:hRule="atLeast"/>
        </w:trPr>
        <w:tc>
          <w:tcPr>
            <w:tcW w:w="8410" w:type="dxa"/>
            <w:gridSpan w:val="4"/>
            <w:vAlign w:val="center"/>
          </w:tcPr>
          <w:p>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注：本表关于要采购项目的具体资料，是对投标人须知的具体补充和修改，如有矛盾，应以本资料表为准。</w:t>
            </w:r>
          </w:p>
        </w:tc>
      </w:tr>
    </w:tbl>
    <w:p>
      <w:pPr>
        <w:rPr>
          <w:rFonts w:ascii="宋体" w:hAnsi="宋体" w:eastAsia="宋体" w:cs="宋体"/>
          <w:color w:val="auto"/>
          <w:sz w:val="24"/>
          <w:szCs w:val="24"/>
          <w:highlight w:val="none"/>
        </w:rPr>
      </w:pPr>
    </w:p>
    <w:p>
      <w:pPr>
        <w:pStyle w:val="9"/>
        <w:rPr>
          <w:color w:val="auto"/>
          <w:szCs w:val="24"/>
          <w:highlight w:val="none"/>
        </w:rPr>
      </w:pPr>
    </w:p>
    <w:p>
      <w:pPr>
        <w:jc w:val="both"/>
        <w:rPr>
          <w:color w:val="auto"/>
          <w:highlight w:val="none"/>
        </w:rPr>
      </w:pPr>
      <w:r>
        <w:rPr>
          <w:rFonts w:hint="eastAsia"/>
          <w:color w:val="auto"/>
          <w:highlight w:val="none"/>
        </w:rPr>
        <w:br w:type="page"/>
      </w:r>
    </w:p>
    <w:p>
      <w:pPr>
        <w:pStyle w:val="4"/>
        <w:spacing w:before="0" w:after="0" w:line="240" w:lineRule="auto"/>
        <w:jc w:val="center"/>
        <w:rPr>
          <w:rFonts w:ascii="宋体" w:hAnsi="宋体" w:eastAsia="宋体" w:cs="宋体"/>
          <w:color w:val="auto"/>
          <w:sz w:val="24"/>
          <w:szCs w:val="24"/>
          <w:highlight w:val="none"/>
        </w:rPr>
      </w:pPr>
      <w:bookmarkStart w:id="3" w:name="_Toc21492"/>
      <w:r>
        <w:rPr>
          <w:rFonts w:hint="eastAsia" w:ascii="宋体" w:hAnsi="宋体" w:eastAsia="宋体" w:cs="宋体"/>
          <w:color w:val="auto"/>
          <w:sz w:val="24"/>
          <w:szCs w:val="24"/>
          <w:highlight w:val="none"/>
        </w:rPr>
        <w:t>附表二：商务技术评分及价格权重表</w:t>
      </w:r>
      <w:bookmarkEnd w:id="3"/>
    </w:p>
    <w:tbl>
      <w:tblPr>
        <w:tblStyle w:val="31"/>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432"/>
        <w:gridCol w:w="798"/>
        <w:gridCol w:w="5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724" w:type="dxa"/>
            <w:vAlign w:val="center"/>
          </w:tcPr>
          <w:p>
            <w:pPr>
              <w:widowControl w:val="0"/>
              <w:adjustRightInd/>
              <w:snapToGrid/>
              <w:spacing w:after="0"/>
              <w:jc w:val="center"/>
              <w:rPr>
                <w:rFonts w:ascii="宋体" w:hAnsi="宋体" w:eastAsia="宋体" w:cs="Times New Roman"/>
                <w:b/>
                <w:color w:val="auto"/>
                <w:kern w:val="2"/>
                <w:sz w:val="21"/>
                <w:szCs w:val="21"/>
                <w:highlight w:val="none"/>
              </w:rPr>
            </w:pPr>
            <w:r>
              <w:rPr>
                <w:rFonts w:hint="eastAsia" w:ascii="宋体" w:hAnsi="宋体" w:eastAsia="宋体" w:cs="Times New Roman"/>
                <w:b/>
                <w:color w:val="auto"/>
                <w:kern w:val="2"/>
                <w:sz w:val="21"/>
                <w:szCs w:val="21"/>
                <w:highlight w:val="none"/>
              </w:rPr>
              <w:t>序号</w:t>
            </w:r>
          </w:p>
        </w:tc>
        <w:tc>
          <w:tcPr>
            <w:tcW w:w="1432" w:type="dxa"/>
            <w:vAlign w:val="center"/>
          </w:tcPr>
          <w:p>
            <w:pPr>
              <w:widowControl w:val="0"/>
              <w:adjustRightInd/>
              <w:snapToGrid/>
              <w:spacing w:after="0"/>
              <w:jc w:val="center"/>
              <w:rPr>
                <w:rFonts w:ascii="宋体" w:hAnsi="宋体" w:eastAsia="宋体" w:cs="Times New Roman"/>
                <w:b/>
                <w:color w:val="auto"/>
                <w:kern w:val="2"/>
                <w:sz w:val="21"/>
                <w:szCs w:val="21"/>
                <w:highlight w:val="none"/>
              </w:rPr>
            </w:pPr>
            <w:r>
              <w:rPr>
                <w:rFonts w:hint="eastAsia" w:ascii="宋体" w:hAnsi="宋体" w:eastAsia="宋体" w:cs="Times New Roman"/>
                <w:b/>
                <w:color w:val="auto"/>
                <w:kern w:val="2"/>
                <w:sz w:val="21"/>
                <w:szCs w:val="21"/>
                <w:highlight w:val="none"/>
              </w:rPr>
              <w:t>评分内容</w:t>
            </w:r>
          </w:p>
        </w:tc>
        <w:tc>
          <w:tcPr>
            <w:tcW w:w="798" w:type="dxa"/>
            <w:vAlign w:val="center"/>
          </w:tcPr>
          <w:p>
            <w:pPr>
              <w:widowControl w:val="0"/>
              <w:adjustRightInd/>
              <w:snapToGrid/>
              <w:spacing w:after="0"/>
              <w:jc w:val="center"/>
              <w:rPr>
                <w:rFonts w:ascii="宋体" w:hAnsi="宋体" w:eastAsia="宋体" w:cs="Times New Roman"/>
                <w:b/>
                <w:color w:val="auto"/>
                <w:kern w:val="2"/>
                <w:sz w:val="21"/>
                <w:szCs w:val="21"/>
                <w:highlight w:val="none"/>
              </w:rPr>
            </w:pPr>
            <w:r>
              <w:rPr>
                <w:rFonts w:hint="eastAsia" w:ascii="宋体" w:hAnsi="宋体" w:eastAsia="宋体" w:cs="Times New Roman"/>
                <w:b/>
                <w:color w:val="auto"/>
                <w:kern w:val="2"/>
                <w:sz w:val="21"/>
                <w:szCs w:val="21"/>
                <w:highlight w:val="none"/>
              </w:rPr>
              <w:t>分值</w:t>
            </w:r>
          </w:p>
        </w:tc>
        <w:tc>
          <w:tcPr>
            <w:tcW w:w="5724" w:type="dxa"/>
            <w:vAlign w:val="center"/>
          </w:tcPr>
          <w:p>
            <w:pPr>
              <w:widowControl w:val="0"/>
              <w:adjustRightInd/>
              <w:snapToGrid/>
              <w:spacing w:after="0"/>
              <w:jc w:val="center"/>
              <w:rPr>
                <w:rFonts w:ascii="宋体" w:hAnsi="宋体" w:eastAsia="宋体" w:cs="Times New Roman"/>
                <w:b/>
                <w:color w:val="auto"/>
                <w:kern w:val="2"/>
                <w:sz w:val="21"/>
                <w:szCs w:val="21"/>
                <w:highlight w:val="none"/>
              </w:rPr>
            </w:pPr>
            <w:r>
              <w:rPr>
                <w:rFonts w:hint="eastAsia" w:ascii="宋体" w:hAnsi="宋体" w:eastAsia="宋体" w:cs="Times New Roman"/>
                <w:b/>
                <w:color w:val="auto"/>
                <w:kern w:val="2"/>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8678" w:type="dxa"/>
            <w:gridSpan w:val="4"/>
            <w:vAlign w:val="center"/>
          </w:tcPr>
          <w:p>
            <w:pPr>
              <w:widowControl w:val="0"/>
              <w:adjustRightInd/>
              <w:snapToGrid/>
              <w:spacing w:after="0"/>
              <w:jc w:val="center"/>
              <w:rPr>
                <w:rFonts w:ascii="宋体" w:hAnsi="宋体" w:eastAsia="宋体" w:cs="Times New Roman"/>
                <w:b/>
                <w:color w:val="auto"/>
                <w:kern w:val="2"/>
                <w:sz w:val="21"/>
                <w:szCs w:val="21"/>
                <w:highlight w:val="none"/>
              </w:rPr>
            </w:pPr>
            <w:r>
              <w:rPr>
                <w:rFonts w:hint="eastAsia" w:ascii="宋体" w:hAnsi="宋体" w:eastAsia="宋体" w:cs="Times New Roman"/>
                <w:b/>
                <w:color w:val="auto"/>
                <w:kern w:val="2"/>
                <w:sz w:val="21"/>
                <w:szCs w:val="21"/>
                <w:highlight w:val="none"/>
              </w:rPr>
              <w:t>商务评分（30分）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4"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投标人认证及荣誉情况</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12分</w:t>
            </w:r>
          </w:p>
        </w:tc>
        <w:tc>
          <w:tcPr>
            <w:tcW w:w="5724" w:type="dxa"/>
            <w:vAlign w:val="center"/>
          </w:tcPr>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（1）投标人（含其上级分公司或总公司）具有由国家认证认可监督管理部门批准设立的认证机构颁发并在有效期内的：</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①质量管理体系认证证书；</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②环境管理体系认证证书；</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③职业健康安全管理体系认证证书；</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④信息技术服务管理体系认证证书；</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fldChar w:fldCharType="begin"/>
            </w:r>
            <w:r>
              <w:rPr>
                <w:rFonts w:hint="eastAsia" w:ascii="宋体" w:hAnsi="宋体" w:eastAsia="宋体" w:cs="Times New Roman"/>
                <w:color w:val="auto"/>
                <w:kern w:val="2"/>
                <w:sz w:val="21"/>
                <w:szCs w:val="21"/>
                <w:highlight w:val="none"/>
              </w:rPr>
              <w:instrText xml:space="preserve"> = 5 \* GB3 </w:instrText>
            </w:r>
            <w:r>
              <w:rPr>
                <w:rFonts w:hint="eastAsia" w:ascii="宋体" w:hAnsi="宋体" w:eastAsia="宋体" w:cs="Times New Roman"/>
                <w:color w:val="auto"/>
                <w:kern w:val="2"/>
                <w:sz w:val="21"/>
                <w:szCs w:val="21"/>
                <w:highlight w:val="none"/>
              </w:rPr>
              <w:fldChar w:fldCharType="separate"/>
            </w:r>
            <w:r>
              <w:rPr>
                <w:rFonts w:hint="eastAsia" w:ascii="宋体" w:hAnsi="宋体" w:eastAsia="宋体" w:cs="Times New Roman"/>
                <w:color w:val="auto"/>
                <w:kern w:val="2"/>
                <w:sz w:val="21"/>
                <w:szCs w:val="21"/>
                <w:highlight w:val="none"/>
              </w:rPr>
              <w:t>⑤</w:t>
            </w:r>
            <w:r>
              <w:rPr>
                <w:rFonts w:hint="eastAsia" w:ascii="宋体" w:hAnsi="宋体" w:eastAsia="宋体" w:cs="Times New Roman"/>
                <w:color w:val="auto"/>
                <w:kern w:val="2"/>
                <w:sz w:val="21"/>
                <w:szCs w:val="21"/>
                <w:highlight w:val="none"/>
              </w:rPr>
              <w:fldChar w:fldCharType="end"/>
            </w:r>
            <w:r>
              <w:rPr>
                <w:rFonts w:hint="eastAsia" w:ascii="宋体" w:hAnsi="宋体" w:eastAsia="宋体" w:cs="Times New Roman"/>
                <w:color w:val="auto"/>
                <w:kern w:val="2"/>
                <w:sz w:val="21"/>
                <w:szCs w:val="21"/>
                <w:highlight w:val="none"/>
              </w:rPr>
              <w:t>信息安全管理体系认证证书；</w:t>
            </w:r>
          </w:p>
          <w:p>
            <w:pPr>
              <w:widowControl w:val="0"/>
              <w:adjustRightInd/>
              <w:snapToGrid/>
              <w:spacing w:after="0"/>
              <w:ind w:firstLine="420" w:firstLineChars="200"/>
              <w:jc w:val="both"/>
              <w:rPr>
                <w:rFonts w:ascii="宋体" w:hAnsi="宋体" w:eastAsia="宋体" w:cs="Times New Roman"/>
                <w:bCs/>
                <w:color w:val="auto"/>
                <w:kern w:val="2"/>
                <w:sz w:val="21"/>
                <w:szCs w:val="21"/>
                <w:highlight w:val="none"/>
                <w:lang w:val="zh-CN"/>
              </w:rPr>
            </w:pPr>
            <w:r>
              <w:rPr>
                <w:rFonts w:hint="eastAsia" w:ascii="宋体" w:hAnsi="宋体" w:eastAsia="宋体" w:cs="Times New Roman"/>
                <w:color w:val="auto"/>
                <w:kern w:val="2"/>
                <w:sz w:val="21"/>
                <w:szCs w:val="21"/>
                <w:highlight w:val="none"/>
              </w:rPr>
              <w:t>以上每个证书得2分，满分10分。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（2）投标人（含其上级分公司或总公司）获得过省级（或以上）行政部门颁发的科学技术进步奖的，每个得1分，本项最高得2分，无不得分。</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b/>
                <w:color w:val="auto"/>
                <w:kern w:val="2"/>
                <w:sz w:val="21"/>
                <w:szCs w:val="21"/>
                <w:highlight w:val="none"/>
              </w:rPr>
              <w:t>注：须提供以上有效证书复印件加盖投标人公章。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4"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2</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投标人业绩</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18分</w:t>
            </w:r>
          </w:p>
        </w:tc>
        <w:tc>
          <w:tcPr>
            <w:tcW w:w="5724" w:type="dxa"/>
            <w:vAlign w:val="center"/>
          </w:tcPr>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自2017年1月至今，投标人须具有视频监控建设的相关项目案例，每个项目得3分，共18分。</w:t>
            </w:r>
          </w:p>
          <w:p>
            <w:pPr>
              <w:widowControl w:val="0"/>
              <w:adjustRightInd/>
              <w:snapToGrid/>
              <w:spacing w:after="0"/>
              <w:ind w:firstLine="422"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b/>
                <w:color w:val="auto"/>
                <w:kern w:val="2"/>
                <w:sz w:val="21"/>
                <w:szCs w:val="21"/>
                <w:highlight w:val="none"/>
              </w:rPr>
              <w:t>注：以上须提供中标通知书及合同关键页复印件加盖公章，合同须为与采购单位直接签订，分包、转包等合同不予计分，计算时间以合同签订时间为准。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678" w:type="dxa"/>
            <w:gridSpan w:val="4"/>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b/>
                <w:color w:val="auto"/>
                <w:kern w:val="2"/>
                <w:sz w:val="21"/>
                <w:szCs w:val="21"/>
                <w:highlight w:val="none"/>
              </w:rPr>
              <w:t>技术评分（60分）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724"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sz w:val="21"/>
                <w:szCs w:val="21"/>
                <w:highlight w:val="none"/>
              </w:rPr>
              <w:t>1</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项目技术</w:t>
            </w:r>
          </w:p>
          <w:p>
            <w:pPr>
              <w:widowControl w:val="0"/>
              <w:adjustRightInd/>
              <w:snapToGrid/>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kern w:val="2"/>
                <w:sz w:val="21"/>
                <w:szCs w:val="21"/>
                <w:highlight w:val="none"/>
              </w:rPr>
              <w:t>方案</w:t>
            </w:r>
          </w:p>
        </w:tc>
        <w:tc>
          <w:tcPr>
            <w:tcW w:w="798" w:type="dxa"/>
            <w:vAlign w:val="center"/>
          </w:tcPr>
          <w:p>
            <w:pPr>
              <w:widowControl w:val="0"/>
              <w:adjustRightInd/>
              <w:snapToGrid/>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根据投标人的项目总体设计方案对用户需求响应的完整性、准确性、先进性、合理性、服务定位清晰程度及等进行评审：</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技术方案详细且优于用户所有要求，方案非常详尽具体，可行性强，服务定位清晰程度高，充分利用现有通信资源，得10分；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技术方案完全满足用户要求，方案较为详尽具体，可行性良好，服务定位清晰程度良好，可利用现有通信资源，得6分；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技术方案基本满足用户要求，方案具体，可行性一般，服务定位清晰程度一般，可利用部分现有通信资源，得3分；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技术方案不详细具体，可行性差，服务定位清晰程度差，无法利用现有通信资源，得1分；</w:t>
            </w:r>
          </w:p>
          <w:p>
            <w:pPr>
              <w:widowControl w:val="0"/>
              <w:adjustRightInd/>
              <w:snapToGrid/>
              <w:spacing w:after="0"/>
              <w:ind w:firstLine="420" w:firstLineChars="200"/>
              <w:jc w:val="both"/>
              <w:rPr>
                <w:color w:val="auto"/>
                <w:highlight w:val="none"/>
              </w:rPr>
            </w:pPr>
            <w:r>
              <w:rPr>
                <w:rFonts w:hint="eastAsia" w:ascii="宋体" w:hAnsi="宋体" w:eastAsia="宋体" w:cs="Times New Roman"/>
                <w:color w:val="auto"/>
                <w:kern w:val="2"/>
                <w:sz w:val="21"/>
                <w:szCs w:val="21"/>
                <w:highlight w:val="none"/>
              </w:rPr>
              <w:t>没有提供技术方案的不得分。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724" w:type="dxa"/>
            <w:vAlign w:val="center"/>
          </w:tcPr>
          <w:p>
            <w:pPr>
              <w:widowControl w:val="0"/>
              <w:adjustRightInd/>
              <w:snapToGrid/>
              <w:spacing w:after="0"/>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432" w:type="dxa"/>
            <w:vAlign w:val="center"/>
          </w:tcPr>
          <w:p>
            <w:pPr>
              <w:widowControl w:val="0"/>
              <w:adjustRightInd/>
              <w:snapToGrid/>
              <w:spacing w:after="0"/>
              <w:jc w:val="center"/>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项目实施方案</w:t>
            </w:r>
          </w:p>
        </w:tc>
        <w:tc>
          <w:tcPr>
            <w:tcW w:w="798" w:type="dxa"/>
            <w:vAlign w:val="center"/>
          </w:tcPr>
          <w:p>
            <w:pPr>
              <w:widowControl w:val="0"/>
              <w:adjustRightInd/>
              <w:snapToGrid/>
              <w:spacing w:after="0"/>
              <w:jc w:val="center"/>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根据投标人提供的项目方案【</w:t>
            </w:r>
            <w:r>
              <w:rPr>
                <w:rFonts w:hint="eastAsia" w:ascii="宋体" w:hAnsi="宋体" w:eastAsia="宋体" w:cs="Times New Roman"/>
                <w:color w:val="auto"/>
                <w:kern w:val="2"/>
                <w:sz w:val="21"/>
                <w:szCs w:val="21"/>
                <w:highlight w:val="none"/>
                <w:lang w:val="en-US" w:eastAsia="zh-CN"/>
              </w:rPr>
              <w:t>包括但不限于</w:t>
            </w:r>
            <w:r>
              <w:rPr>
                <w:rFonts w:hint="eastAsia" w:ascii="宋体" w:hAnsi="宋体" w:eastAsia="宋体" w:cs="Times New Roman"/>
                <w:color w:val="auto"/>
                <w:kern w:val="2"/>
                <w:sz w:val="21"/>
                <w:szCs w:val="21"/>
                <w:highlight w:val="none"/>
              </w:rPr>
              <w:t>进度计划安排、安装调试方案</w:t>
            </w:r>
            <w:r>
              <w:rPr>
                <w:rFonts w:hint="eastAsia" w:ascii="宋体" w:hAns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 xml:space="preserve">进度计划；项目管理、日常巡查；人员安排】进行评分： </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项目实施方案详尽完整、科学合理、可行性高的，得10分；</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项目实施方案较完整、科学合理，可行性较高的，得6分；</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项目实施方案基本完整、基本可行的，得3分；</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项目实施方案缺乏合理性的，得1分；</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724"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sz w:val="21"/>
                <w:szCs w:val="21"/>
                <w:highlight w:val="none"/>
              </w:rPr>
              <w:t>3</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rPr>
              <w:t>质量保证措施</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rPr>
              <w:t>10</w:t>
            </w:r>
            <w:r>
              <w:rPr>
                <w:rFonts w:hint="eastAsia" w:ascii="宋体" w:hAnsi="宋体" w:eastAsia="宋体" w:cs="Times New Roman"/>
                <w:color w:val="auto"/>
                <w:kern w:val="2"/>
                <w:sz w:val="21"/>
                <w:szCs w:val="21"/>
                <w:highlight w:val="none"/>
              </w:rPr>
              <w:t>分</w:t>
            </w:r>
          </w:p>
        </w:tc>
        <w:tc>
          <w:tcPr>
            <w:tcW w:w="5724" w:type="dxa"/>
            <w:vAlign w:val="center"/>
          </w:tcPr>
          <w:p>
            <w:pPr>
              <w:widowControl w:val="0"/>
              <w:adjustRightInd/>
              <w:snapToGrid/>
              <w:spacing w:before="72" w:beforeLines="20" w:after="72" w:afterLines="20"/>
              <w:ind w:firstLine="420" w:firstLineChars="200"/>
              <w:jc w:val="both"/>
              <w:rPr>
                <w:rFonts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根据投标人是否能根据本项目要求提供详细的服务质量方案保证目标及分期目标，并提供具体可行、详细的保证措施等进行综合评审。</w:t>
            </w:r>
          </w:p>
          <w:p>
            <w:pPr>
              <w:widowControl w:val="0"/>
              <w:adjustRightInd/>
              <w:snapToGrid/>
              <w:spacing w:before="72" w:beforeLines="20" w:after="72" w:afterLines="20"/>
              <w:ind w:firstLine="420" w:firstLineChars="200"/>
              <w:jc w:val="both"/>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质量保证措施方案科学完整，可行性强，得</w:t>
            </w:r>
            <w:r>
              <w:rPr>
                <w:rFonts w:hint="eastAsia" w:ascii="宋体" w:hAnsi="宋体" w:eastAsia="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rPr>
              <w:t>分。</w:t>
            </w:r>
          </w:p>
          <w:p>
            <w:pPr>
              <w:widowControl w:val="0"/>
              <w:adjustRightInd/>
              <w:snapToGrid/>
              <w:spacing w:before="72" w:beforeLines="20" w:after="72" w:afterLines="20"/>
              <w:ind w:firstLine="420" w:firstLineChars="200"/>
              <w:jc w:val="both"/>
              <w:rPr>
                <w:rFonts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质量保证措施方案科学完整，可行性</w:t>
            </w:r>
            <w:r>
              <w:rPr>
                <w:rFonts w:hint="eastAsia" w:ascii="宋体" w:hAnsi="宋体" w:eastAsia="宋体" w:cs="宋体"/>
                <w:bCs/>
                <w:color w:val="auto"/>
                <w:kern w:val="2"/>
                <w:sz w:val="21"/>
                <w:szCs w:val="21"/>
                <w:highlight w:val="none"/>
                <w:lang w:val="en-US" w:eastAsia="zh-CN"/>
              </w:rPr>
              <w:t>良好</w:t>
            </w:r>
            <w:r>
              <w:rPr>
                <w:rFonts w:hint="eastAsia" w:ascii="宋体" w:hAnsi="宋体" w:eastAsia="宋体" w:cs="宋体"/>
                <w:bCs/>
                <w:color w:val="auto"/>
                <w:kern w:val="2"/>
                <w:sz w:val="21"/>
                <w:szCs w:val="21"/>
                <w:highlight w:val="none"/>
                <w:lang w:val="zh-CN"/>
              </w:rPr>
              <w:t>，得</w:t>
            </w:r>
            <w:r>
              <w:rPr>
                <w:rFonts w:hint="eastAsia" w:ascii="宋体" w:hAnsi="宋体" w:eastAsia="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lang w:val="zh-CN"/>
              </w:rPr>
              <w:t>分。</w:t>
            </w:r>
          </w:p>
          <w:p>
            <w:pPr>
              <w:widowControl w:val="0"/>
              <w:adjustRightInd/>
              <w:snapToGrid/>
              <w:spacing w:before="72" w:beforeLines="20" w:after="72" w:afterLines="20"/>
              <w:ind w:firstLine="420" w:firstLineChars="200"/>
              <w:jc w:val="both"/>
              <w:rPr>
                <w:rFonts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质量保证措施方案基本完整，可行性一般，得</w:t>
            </w:r>
            <w:r>
              <w:rPr>
                <w:rFonts w:hint="eastAsia" w:ascii="宋体" w:hAnsi="宋体" w:eastAsia="宋体" w:cs="宋体"/>
                <w:bCs/>
                <w:color w:val="auto"/>
                <w:kern w:val="2"/>
                <w:sz w:val="21"/>
                <w:szCs w:val="21"/>
                <w:highlight w:val="none"/>
              </w:rPr>
              <w:t>3</w:t>
            </w:r>
            <w:r>
              <w:rPr>
                <w:rFonts w:hint="eastAsia" w:ascii="宋体" w:hAnsi="宋体" w:eastAsia="宋体" w:cs="宋体"/>
                <w:bCs/>
                <w:color w:val="auto"/>
                <w:kern w:val="2"/>
                <w:sz w:val="21"/>
                <w:szCs w:val="21"/>
                <w:highlight w:val="none"/>
                <w:lang w:val="zh-CN"/>
              </w:rPr>
              <w:t>分。</w:t>
            </w:r>
          </w:p>
          <w:p>
            <w:pPr>
              <w:widowControl w:val="0"/>
              <w:adjustRightInd/>
              <w:snapToGrid/>
              <w:spacing w:before="72" w:beforeLines="20" w:after="72" w:afterLines="20"/>
              <w:ind w:firstLine="420" w:firstLineChars="200"/>
              <w:jc w:val="both"/>
              <w:rPr>
                <w:rFonts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质量保证措施方案简单，可行性差，得1分。</w:t>
            </w:r>
          </w:p>
          <w:p>
            <w:pPr>
              <w:widowControl w:val="0"/>
              <w:adjustRightInd/>
              <w:snapToGrid/>
              <w:spacing w:before="72" w:beforeLines="20" w:after="72" w:afterLines="2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宋体"/>
                <w:bCs/>
                <w:color w:val="auto"/>
                <w:kern w:val="2"/>
                <w:sz w:val="21"/>
                <w:szCs w:val="21"/>
                <w:highlight w:val="none"/>
                <w:lang w:val="zh-CN"/>
              </w:rPr>
              <w:t>无提供质量保证措施，不得分。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724" w:type="dxa"/>
            <w:vMerge w:val="restart"/>
            <w:vAlign w:val="center"/>
          </w:tcPr>
          <w:p>
            <w:pPr>
              <w:widowControl w:val="0"/>
              <w:adjustRightInd/>
              <w:snapToGrid/>
              <w:spacing w:after="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sz w:val="21"/>
                <w:szCs w:val="21"/>
                <w:highlight w:val="none"/>
                <w:lang w:val="en-US" w:eastAsia="zh-CN"/>
              </w:rPr>
              <w:t>4</w:t>
            </w:r>
          </w:p>
        </w:tc>
        <w:tc>
          <w:tcPr>
            <w:tcW w:w="1432" w:type="dxa"/>
            <w:vMerge w:val="restart"/>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人员配置</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（1）投标人拟投入的项目经理具有：</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①人社部门或中国电子信息行业联合会或中国项目管理研究委员会颁发的项目经理证书的得3分，无得0分；</w:t>
            </w:r>
          </w:p>
          <w:p>
            <w:pPr>
              <w:widowControl w:val="0"/>
              <w:autoSpaceDE w:val="0"/>
              <w:autoSpaceDN w:val="0"/>
              <w:adjustRightInd/>
              <w:snapToGrid/>
              <w:spacing w:after="0"/>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②人社部门或工业和信息化部门颁发的通信类（或电子类）高级技师证书的得2分，无得0分；</w:t>
            </w:r>
          </w:p>
          <w:p>
            <w:pPr>
              <w:widowControl w:val="0"/>
              <w:autoSpaceDE w:val="0"/>
              <w:autoSpaceDN w:val="0"/>
              <w:adjustRightInd/>
              <w:snapToGrid/>
              <w:spacing w:after="0"/>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③人社部门或信产部颁发的通信类（或电子类）高级或以上工程师证书的，得3分，无得0分；</w:t>
            </w:r>
          </w:p>
          <w:p>
            <w:pPr>
              <w:widowControl w:val="0"/>
              <w:autoSpaceDE w:val="0"/>
              <w:autoSpaceDN w:val="0"/>
              <w:adjustRightInd/>
              <w:snapToGrid/>
              <w:spacing w:after="0"/>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④工业和信息化部教育与考试中心颁发的高级网络与信息安全管理师证书的，得2分，无得0分。</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注：须提供以上有效证书复印件及社会保障部门出具的近半年中任意两个月（不含开标当月）投标单位为其连续缴纳社会保险的有效凭证的复印件加盖投标人公章。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724" w:type="dxa"/>
            <w:vMerge w:val="continue"/>
            <w:vAlign w:val="center"/>
          </w:tcPr>
          <w:p>
            <w:pPr>
              <w:widowControl w:val="0"/>
              <w:adjustRightInd/>
              <w:snapToGrid/>
              <w:spacing w:after="0"/>
              <w:jc w:val="center"/>
              <w:rPr>
                <w:rFonts w:ascii="宋体" w:hAnsi="宋体" w:eastAsia="宋体" w:cs="Times New Roman"/>
                <w:color w:val="auto"/>
                <w:kern w:val="2"/>
                <w:sz w:val="21"/>
                <w:szCs w:val="21"/>
                <w:highlight w:val="none"/>
              </w:rPr>
            </w:pPr>
          </w:p>
        </w:tc>
        <w:tc>
          <w:tcPr>
            <w:tcW w:w="1432" w:type="dxa"/>
            <w:vMerge w:val="continue"/>
            <w:vAlign w:val="center"/>
          </w:tcPr>
          <w:p>
            <w:pPr>
              <w:widowControl w:val="0"/>
              <w:adjustRightInd/>
              <w:snapToGrid/>
              <w:spacing w:after="0"/>
              <w:jc w:val="center"/>
              <w:rPr>
                <w:rFonts w:ascii="宋体" w:hAnsi="宋体" w:eastAsia="宋体" w:cs="Times New Roman"/>
                <w:color w:val="auto"/>
                <w:kern w:val="2"/>
                <w:sz w:val="21"/>
                <w:szCs w:val="21"/>
                <w:highlight w:val="none"/>
              </w:rPr>
            </w:pP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（2）投标人拟投入人员（除项目经理外）：</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①技术人员中具有人社部门或工业和信息化部门颁发的高级技师证书（通信类或电子类）的，每一名得2.5分，最高得5分。</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②技术人员具有人社部门或信产部颁发的高级工程师证书（通信类或电子类）的，每一名得2.5分，最高得5分。</w:t>
            </w:r>
          </w:p>
          <w:p>
            <w:pPr>
              <w:widowControl w:val="0"/>
              <w:adjustRightInd/>
              <w:snapToGrid/>
              <w:spacing w:after="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注：须提供以上有效证书复印件及社会保障部门出具的近半年中任意两个月（不含开标当月）投标单位为其连续缴纳社会保险的有效凭证的复印件加盖投标人公章。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4" w:type="dxa"/>
            <w:vAlign w:val="center"/>
          </w:tcPr>
          <w:p>
            <w:pPr>
              <w:widowControl w:val="0"/>
              <w:adjustRightInd/>
              <w:snapToGrid/>
              <w:spacing w:after="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sz w:val="21"/>
                <w:szCs w:val="21"/>
                <w:highlight w:val="none"/>
                <w:lang w:val="en-US" w:eastAsia="zh-CN"/>
              </w:rPr>
              <w:t>5</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售后服务承诺</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根据投标人对项目安排的售后服务响应、应急服务响应、故障响应、质量保证体系及措施、服务承诺等进行综合评审：</w:t>
            </w:r>
          </w:p>
          <w:p>
            <w:pPr>
              <w:widowControl w:val="0"/>
              <w:adjustRightInd/>
              <w:snapToGrid/>
              <w:spacing w:after="0"/>
              <w:ind w:firstLine="420" w:firstLineChars="20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售后服务响应完整科学、可行性强，完全满足并优于招标文件要求，得10分。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售后服务响应完整科学、可行性强，基本满足招文件要求，得6分。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售后服务响应完整、可行性一般，符合招标文件要求，得3分。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售后服务响应基本完整、可行性较差，基本符合招标文件要求，得1分。</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未提供售后服务响应承诺不得分。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8678" w:type="dxa"/>
            <w:gridSpan w:val="4"/>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b/>
                <w:color w:val="auto"/>
                <w:kern w:val="2"/>
                <w:sz w:val="21"/>
                <w:szCs w:val="21"/>
                <w:highlight w:val="none"/>
              </w:rPr>
              <w:t>价格评分（10分）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4" w:type="dxa"/>
            <w:vAlign w:val="center"/>
          </w:tcPr>
          <w:p>
            <w:pPr>
              <w:widowControl w:val="0"/>
              <w:adjustRightInd/>
              <w:snapToGrid/>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kern w:val="2"/>
                <w:sz w:val="21"/>
                <w:szCs w:val="21"/>
                <w:highlight w:val="none"/>
              </w:rPr>
              <w:t>1</w:t>
            </w:r>
          </w:p>
        </w:tc>
        <w:tc>
          <w:tcPr>
            <w:tcW w:w="1432"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价格</w:t>
            </w:r>
          </w:p>
        </w:tc>
        <w:tc>
          <w:tcPr>
            <w:tcW w:w="798" w:type="dxa"/>
            <w:vAlign w:val="center"/>
          </w:tcPr>
          <w:p>
            <w:pPr>
              <w:widowControl w:val="0"/>
              <w:adjustRightInd/>
              <w:snapToGrid/>
              <w:spacing w:after="0"/>
              <w:jc w:val="center"/>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10分</w:t>
            </w:r>
          </w:p>
        </w:tc>
        <w:tc>
          <w:tcPr>
            <w:tcW w:w="5724" w:type="dxa"/>
            <w:vAlign w:val="center"/>
          </w:tcPr>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价格分计算方法：满足招标文件要求且投标价格最低的投标报价为评标基准价，其价格分为满分。其他投标人的价格分统一按照下列公式计算：</w:t>
            </w:r>
          </w:p>
          <w:p>
            <w:pPr>
              <w:widowControl w:val="0"/>
              <w:adjustRightInd/>
              <w:snapToGrid/>
              <w:spacing w:after="0"/>
              <w:ind w:firstLine="420" w:firstLineChars="200"/>
              <w:jc w:val="both"/>
              <w:rPr>
                <w:rFonts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t>投标报价得分=(评标基准价／投标报价)×价格权重10%）×100</w:t>
            </w:r>
          </w:p>
        </w:tc>
      </w:tr>
    </w:tbl>
    <w:p>
      <w:pPr>
        <w:spacing w:after="0"/>
        <w:rPr>
          <w:color w:val="auto"/>
          <w:sz w:val="28"/>
          <w:szCs w:val="28"/>
          <w:highlight w:val="none"/>
        </w:rPr>
      </w:pPr>
    </w:p>
    <w:p>
      <w:pPr>
        <w:spacing w:after="0"/>
        <w:rPr>
          <w:color w:val="auto"/>
          <w:sz w:val="28"/>
          <w:szCs w:val="28"/>
          <w:highlight w:val="none"/>
        </w:rPr>
      </w:pPr>
      <w:r>
        <w:rPr>
          <w:rFonts w:hint="eastAsia"/>
          <w:color w:val="auto"/>
          <w:sz w:val="28"/>
          <w:szCs w:val="28"/>
          <w:highlight w:val="none"/>
        </w:rPr>
        <w:br w:type="page"/>
      </w:r>
    </w:p>
    <w:p>
      <w:pPr>
        <w:pStyle w:val="3"/>
        <w:spacing w:before="0" w:after="0" w:line="240" w:lineRule="auto"/>
        <w:rPr>
          <w:color w:val="auto"/>
          <w:sz w:val="36"/>
          <w:szCs w:val="36"/>
          <w:highlight w:val="none"/>
        </w:rPr>
      </w:pPr>
      <w:bookmarkStart w:id="4" w:name="_Toc18127"/>
      <w:r>
        <w:rPr>
          <w:rFonts w:hint="eastAsia"/>
          <w:color w:val="auto"/>
          <w:sz w:val="28"/>
          <w:szCs w:val="28"/>
          <w:highlight w:val="none"/>
        </w:rPr>
        <w:t>第三部分 用户需求书</w:t>
      </w:r>
      <w:bookmarkEnd w:id="4"/>
    </w:p>
    <w:p>
      <w:pPr>
        <w:widowControl/>
        <w:wordWrap/>
        <w:adjustRightInd w:val="0"/>
        <w:snapToGrid w:val="0"/>
        <w:spacing w:after="0" w:line="360" w:lineRule="auto"/>
        <w:ind w:left="0" w:leftChars="0" w:right="0" w:firstLine="0" w:firstLineChars="0"/>
        <w:jc w:val="center"/>
        <w:textAlignment w:val="auto"/>
        <w:outlineLvl w:val="9"/>
        <w:rPr>
          <w:rFonts w:eastAsia="黑体"/>
          <w:color w:val="auto"/>
          <w:sz w:val="32"/>
          <w:highlight w:val="none"/>
        </w:rPr>
      </w:pPr>
      <w:bookmarkStart w:id="5" w:name="_Toc13112"/>
      <w:bookmarkStart w:id="6" w:name="_Toc14462"/>
      <w:bookmarkStart w:id="7" w:name="_Toc24679"/>
      <w:bookmarkStart w:id="8" w:name="_Toc31278"/>
      <w:r>
        <w:rPr>
          <w:rFonts w:hint="eastAsia" w:ascii="宋体" w:hAnsi="宋体" w:eastAsia="宋体" w:cs="宋体"/>
          <w:b/>
          <w:bCs/>
          <w:color w:val="auto"/>
          <w:sz w:val="28"/>
          <w:szCs w:val="28"/>
          <w:highlight w:val="none"/>
        </w:rPr>
        <w:t>用户需求明细</w:t>
      </w:r>
    </w:p>
    <w:p>
      <w:pPr>
        <w:rPr>
          <w:rFonts w:hint="eastAsia"/>
          <w:color w:val="auto"/>
          <w:highlight w:val="none"/>
          <w:lang w:val="en-US" w:eastAsia="zh-CN"/>
        </w:rPr>
      </w:pPr>
      <w:bookmarkStart w:id="9" w:name="_Toc18749"/>
    </w:p>
    <w:p>
      <w:pPr>
        <w:keepNext/>
        <w:keepLines/>
        <w:widowControl/>
        <w:numPr>
          <w:numId w:val="0"/>
        </w:numPr>
        <w:tabs>
          <w:tab w:val="left" w:pos="8286"/>
        </w:tabs>
        <w:wordWrap/>
        <w:adjustRightInd w:val="0"/>
        <w:snapToGrid w:val="0"/>
        <w:spacing w:before="0" w:beforeLines="0" w:beforeAutospacing="0" w:after="0" w:afterLines="0" w:afterAutospacing="0" w:line="360" w:lineRule="auto"/>
        <w:ind w:left="0" w:leftChars="0" w:right="0" w:firstLine="0" w:firstLineChars="0"/>
        <w:jc w:val="both"/>
        <w:textAlignment w:val="auto"/>
        <w:outlineLvl w:val="0"/>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一、项目概况</w:t>
      </w:r>
      <w:bookmarkEnd w:id="9"/>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10" w:name="_Toc19583"/>
      <w:r>
        <w:rPr>
          <w:rFonts w:hint="eastAsia" w:ascii="宋体" w:hAnsi="宋体" w:eastAsia="宋体" w:cs="宋体"/>
          <w:b/>
          <w:bCs/>
          <w:color w:val="auto"/>
          <w:sz w:val="28"/>
          <w:szCs w:val="28"/>
          <w:highlight w:val="none"/>
          <w:lang w:val="en-US" w:eastAsia="zh-CN" w:bidi="ar-SA"/>
        </w:rPr>
        <w:t>1.1项目名称</w:t>
      </w:r>
      <w:bookmarkEnd w:id="10"/>
    </w:p>
    <w:p>
      <w:pPr>
        <w:widowControl/>
        <w:numPr>
          <w:numId w:val="0"/>
        </w:numPr>
        <w:wordWrap/>
        <w:adjustRightInd w:val="0"/>
        <w:snapToGrid w:val="0"/>
        <w:spacing w:after="0" w:line="360" w:lineRule="auto"/>
        <w:ind w:leftChars="200" w:right="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项目名称：东莞市石排镇塘尾村智慧社区视频监控建设和维护项目</w:t>
      </w:r>
      <w:bookmarkStart w:id="11" w:name="_Toc28343"/>
    </w:p>
    <w:p>
      <w:pPr>
        <w:ind w:left="0" w:leftChars="0"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编制依据</w:t>
      </w:r>
      <w:bookmarkEnd w:id="11"/>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12" w:name="_Toc30463"/>
      <w:r>
        <w:rPr>
          <w:rFonts w:hint="eastAsia" w:ascii="宋体" w:hAnsi="宋体" w:eastAsia="宋体" w:cs="宋体"/>
          <w:b/>
          <w:bCs/>
          <w:color w:val="auto"/>
          <w:sz w:val="21"/>
          <w:szCs w:val="21"/>
          <w:highlight w:val="none"/>
          <w:lang w:val="en-US" w:eastAsia="zh-CN" w:bidi="ar-SA"/>
        </w:rPr>
        <w:t>上级部门文件</w:t>
      </w:r>
      <w:bookmarkEnd w:id="12"/>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《广东省公共安全视频监控系统建设“十三五”规划》</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《广东省安全技术防范管理实施办法》</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《关于下发“十三五”规划期间视频监控建设任务的通知》（东莞市公安局）</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《东莞市高清视频监控系统建设指引》（东莞市公安局）</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《关于进一步加强公安机关视频图像信息应用工作的意见》（公通字〔2015〕4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《公安信息化建设“十三五”重点任务考虑》（公装财传发〔2014〕192号）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《关于加强公共安全视频监控建设联网应用工作的若干意见》 （发改高技〔2015〕996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《关于加强社会治安防控体系建设的意见》（中共中央办公厅、国务院办公厅 2015 年 4 月 13 日印发）</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《全国公安机关视频图像信息整合与共享工作任务书》（公科信〔2012〕11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《关于深入开展城市报警与监控系统应用工作的意见》（公科信〔2010〕30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《公安信息通信网边界接入平台安全规范（试行）》（公信通〔2007〕191号）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《关于公安信息通信网边界接入平台建设有关问题的通知》 （公信通传发〔2008〕296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《公安信息通信网边界接入平台安全规范（试行）—视频接入部分》（公科信〔2011〕5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《广东省社会治安视频监控系统建设指引》（粤公通字〔2005〕310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《广东省社会治安视频监控系统数据传输技术规范》（粤公通字〔2005〕310 号）</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《广东省社会治安视频监控系统监控中心平台建设规范》（粤公通字〔2007〕139 号）</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13" w:name="_Toc30855"/>
      <w:r>
        <w:rPr>
          <w:rFonts w:hint="eastAsia" w:ascii="宋体" w:hAnsi="宋体" w:eastAsia="宋体" w:cs="宋体"/>
          <w:b/>
          <w:bCs/>
          <w:color w:val="auto"/>
          <w:sz w:val="21"/>
          <w:szCs w:val="21"/>
          <w:highlight w:val="none"/>
          <w:lang w:val="en-US" w:eastAsia="zh-CN" w:bidi="ar-SA"/>
        </w:rPr>
        <w:t>国家及行业标准规范</w:t>
      </w:r>
      <w:bookmarkEnd w:id="13"/>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《城市监控报警联网系统技术标准》（GA/T 669-2008）</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《公安视频图像信息联网与应用标准体系表》（GA/Z 1164-2014）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《信息安全技术信息系统通用安全技术要求》（GB/T20271-2006）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《安防监控视频实时智能分析设备技术要求》（GB/T30147-2013）</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《视频安防监控系统技术要求》（GA/T 367-2001）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《安全防范工程技术规范》（GB 50348-2004）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《安全防范工程程序与要求》（GA/T 75-1994）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《安全防范系统验收规则》（GA 308-2001）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《电子计算机机房设计规范》（GB50174）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《电子计算机机房施工及验收规范》（SJ/T30003）</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《电气装置安装工程工程施工及验收规范》（GB 50169－2006）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《安全防范系统雷电浪涌防护技术要求》（GA/T 670-2006）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《计算机信息系统安全》（GA 216.1－1999）</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《信息技术设备的安全》GB4943-2001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《公共安全视频监控联网信息安全技术要求》（GB 35114-2017）</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《安全防范工程程序与要求》（GA/T75-94）；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《视频安防系统技术要求》（GB/T367-2001）；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《彩色电视图像质量主观评价方法》（GB50198-94）；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《民用闭路电视监控系统工程技术规范》（GB50198-94）；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《计算站场安全要求》（GB9361-1998）；</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《电子计算机机房施工及验收规范》（SJ/T30003-93）；</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《邮电通信网光纤数据传输系统工程施工及验收暂行技术规范》</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《智能建筑设计标准》（GB/T50314-2000）；</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《系统接地的形式及安全技术要求》（YD14050-93）；</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《建筑物防雷设计规范》（GB50057-94）；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《中华人民共和国道路交通安全法》；</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《中华人民共和国道路交通安全法实施条例》；</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《公路交通安全实施设计技术规范》 (JTJ074-2003)；</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《公路车辆智能监测记录系统通用技术条件》（GA/T497-2016）；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《机动车测速仪》（GB/T21255-2007）；</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《道路交通安全违法行为图像取证技术规范》（GA/T 832-2014）；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《道路交通安全违法行为视频取证设备技术规范》（GA/T995-2012）；</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《交通技术监控成像补光装置通用技术条件》（GA/T1202-2014）；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《机动车号牌图像自动识别技术规范》（GA/T833-2016）；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《公安交通指挥系统工程建设通用程序和要求》（GA/T651-2006）；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《公安交通管理外场设备基础施工通用要求》（GA/T652-2006）；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《公安交通指挥系统工程设计制图规范》（GA/T515-2004）；</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《工业电视系统工程设计规范》（GBJ115-87）；</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《音频、视频及类似电子设备安全要求》（GB8898-2001）；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《测量、控制和试验室用电气设备的安全要求》 (GB4793-2001)；</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《邮电通信网光纤数据传输系统工程施工及验收技术规范》；</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《中华人民共和国通信行业标准》（YD/T926）；</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《电气指标标准》ELA-422 ELA-485 ；</w:t>
      </w:r>
    </w:p>
    <w:p>
      <w:pPr>
        <w:widowControl/>
        <w:numPr>
          <w:ilvl w:val="0"/>
          <w:numId w:val="2"/>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《电子设备雷击保护导则》GB7450-87；</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14" w:name="_Toc12096"/>
      <w:r>
        <w:rPr>
          <w:rFonts w:hint="eastAsia" w:ascii="宋体" w:hAnsi="宋体" w:eastAsia="宋体" w:cs="宋体"/>
          <w:b/>
          <w:bCs/>
          <w:color w:val="auto"/>
          <w:sz w:val="28"/>
          <w:szCs w:val="28"/>
          <w:highlight w:val="none"/>
          <w:lang w:val="en-US" w:eastAsia="zh-CN" w:bidi="ar-SA"/>
        </w:rPr>
        <w:t>1.2项目建设目标</w:t>
      </w:r>
      <w:bookmarkEnd w:id="14"/>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石排全镇各村主干道、公园、市场等重要区域增加安装治安视频监控系统，强化平安乡村建设。可满足村级治安防控和社会管理需要，利用网络把各视频监控点图像上传至石排公安分局监控中心，通过视频技术获取影像资料，通过增设村级视频监控点，形成村社区治安闭环，近而实现全域封控,完成实战“最后一公里”，构筑“瓮中捉鳖”的防范体系。提升社会治安防控、打击犯罪、反恐处突等方面的能力。石排镇平安乡村视频监控系统项目主要涉及前端高清视频监控、网络传输、存储系统、村警务区分控中心等系统建设。</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本项目的建设将实现对街巷的人流车辆监控管控，弥补现阶段石排村社区治安队伍人员老化、专业素质不足等问题，建立防范为主要原则、打击为主要手段、挤压犯罪空间为主要目的的防控体系。进而震慑违法犯罪，降低违法犯罪案件发案率，提升群众安全感和公共安全满意度。提升视频监控管理和应用的高效便捷性，进一步提升石排镇社会治安综合治理水平。</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15" w:name="_Toc31189"/>
      <w:r>
        <w:rPr>
          <w:rFonts w:hint="eastAsia" w:ascii="宋体" w:hAnsi="宋体" w:eastAsia="宋体" w:cs="宋体"/>
          <w:b/>
          <w:bCs/>
          <w:color w:val="auto"/>
          <w:sz w:val="28"/>
          <w:szCs w:val="28"/>
          <w:highlight w:val="none"/>
          <w:lang w:val="en-US" w:eastAsia="zh-CN" w:bidi="ar-SA"/>
        </w:rPr>
        <w:t>1.3项目建设内容</w:t>
      </w:r>
      <w:bookmarkEnd w:id="15"/>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bookmarkStart w:id="16" w:name="_Hlk23889983"/>
      <w:r>
        <w:rPr>
          <w:rFonts w:hint="eastAsia" w:ascii="宋体" w:hAnsi="宋体" w:eastAsia="宋体" w:cs="宋体"/>
          <w:color w:val="auto"/>
          <w:sz w:val="21"/>
          <w:szCs w:val="21"/>
          <w:highlight w:val="none"/>
        </w:rPr>
        <w:t>（1）提供133路二类视频监控点线路和设备更换。</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（2）提供该133路二类监控点和6路人脸识别，2路治安卡口，合计141路视频点的</w:t>
      </w:r>
      <w:r>
        <w:rPr>
          <w:rFonts w:hint="eastAsia" w:ascii="宋体" w:hAnsi="宋体" w:eastAsia="宋体" w:cs="宋体"/>
          <w:color w:val="auto"/>
          <w:sz w:val="21"/>
          <w:szCs w:val="21"/>
          <w:highlight w:val="none"/>
          <w:lang w:val="en-US" w:eastAsia="zh-CN"/>
        </w:rPr>
        <w:t>一</w:t>
      </w:r>
      <w:bookmarkStart w:id="363" w:name="_GoBack"/>
      <w:bookmarkEnd w:id="363"/>
      <w:r>
        <w:rPr>
          <w:rFonts w:hint="eastAsia" w:ascii="宋体" w:hAnsi="宋体" w:eastAsia="宋体" w:cs="宋体"/>
          <w:color w:val="auto"/>
          <w:sz w:val="21"/>
          <w:szCs w:val="21"/>
          <w:highlight w:val="none"/>
        </w:rPr>
        <w:t>年维护。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（3）更换部分录像设备，显示设备及机房相关其他设备。</w:t>
      </w:r>
    </w:p>
    <w:p>
      <w:pPr>
        <w:widowControl/>
        <w:wordWrap/>
        <w:adjustRightInd w:val="0"/>
        <w:snapToGrid w:val="0"/>
        <w:spacing w:after="0" w:line="360" w:lineRule="auto"/>
        <w:ind w:left="0" w:leftChars="0" w:right="0" w:firstLine="420" w:firstLineChars="200"/>
        <w:jc w:val="left"/>
        <w:textAlignment w:val="auto"/>
        <w:outlineLvl w:val="9"/>
        <w:rPr>
          <w:color w:val="auto"/>
          <w:highlight w:val="none"/>
        </w:rPr>
      </w:pPr>
      <w:r>
        <w:rPr>
          <w:rFonts w:hint="eastAsia" w:ascii="宋体" w:hAnsi="宋体" w:eastAsia="宋体" w:cs="宋体"/>
          <w:color w:val="auto"/>
          <w:sz w:val="21"/>
          <w:szCs w:val="21"/>
          <w:highlight w:val="none"/>
        </w:rPr>
        <w:t>（4） 提供村村享-数字乡村SAAS基础包、智慧社区门禁及云盘等产业数字化服务。</w:t>
      </w:r>
    </w:p>
    <w:bookmarkEnd w:id="16"/>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17" w:name="_Toc11211"/>
      <w:bookmarkStart w:id="18" w:name="_Hlk19691780"/>
      <w:r>
        <w:rPr>
          <w:rFonts w:hint="eastAsia" w:ascii="宋体" w:hAnsi="宋体" w:eastAsia="宋体" w:cs="宋体"/>
          <w:b/>
          <w:bCs/>
          <w:color w:val="auto"/>
          <w:sz w:val="28"/>
          <w:szCs w:val="28"/>
          <w:highlight w:val="none"/>
          <w:lang w:val="en-US" w:eastAsia="zh-CN" w:bidi="ar-SA"/>
        </w:rPr>
        <w:t>1.4效益分析</w:t>
      </w:r>
      <w:bookmarkEnd w:id="17"/>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方案将视频监控各方面资源进行了有效的整合，将高效的自主硬件平台，与视频监控平台、视频存储、网络通道等多方面资源和功能进行了高度融合，构建了集传统视频监控、视频存储、电子地图，以及安防业务应用等功能于一体的综合视频监控管理平台。</w:t>
      </w:r>
    </w:p>
    <w:p>
      <w:pPr>
        <w:keepNext/>
        <w:keepLines/>
        <w:numPr>
          <w:numId w:val="0"/>
        </w:numPr>
        <w:tabs>
          <w:tab w:val="left" w:pos="8286"/>
        </w:tabs>
        <w:adjustRightInd w:val="0"/>
        <w:snapToGrid w:val="0"/>
        <w:spacing w:before="120" w:beforeLines="0" w:beforeAutospacing="0" w:after="120" w:afterLines="0" w:afterAutospacing="0" w:line="360" w:lineRule="auto"/>
        <w:ind w:leftChars="0" w:firstLine="0"/>
        <w:jc w:val="both"/>
        <w:outlineLvl w:val="0"/>
        <w:rPr>
          <w:rFonts w:hint="eastAsia" w:ascii="宋体" w:hAnsi="宋体" w:eastAsia="宋体" w:cs="宋体"/>
          <w:b/>
          <w:bCs/>
          <w:color w:val="auto"/>
          <w:kern w:val="0"/>
          <w:sz w:val="28"/>
          <w:szCs w:val="28"/>
          <w:highlight w:val="none"/>
          <w:lang w:val="en-US" w:eastAsia="zh-CN" w:bidi="ar-SA"/>
        </w:rPr>
      </w:pPr>
      <w:bookmarkStart w:id="19" w:name="_Toc1788"/>
      <w:r>
        <w:rPr>
          <w:rFonts w:hint="eastAsia" w:ascii="宋体" w:hAnsi="宋体" w:eastAsia="宋体" w:cs="宋体"/>
          <w:b/>
          <w:bCs/>
          <w:color w:val="auto"/>
          <w:kern w:val="0"/>
          <w:sz w:val="28"/>
          <w:szCs w:val="28"/>
          <w:highlight w:val="none"/>
          <w:lang w:val="en-US" w:eastAsia="zh-CN" w:bidi="ar-SA"/>
        </w:rPr>
        <w:t>二、项目现状及必要性分析</w:t>
      </w:r>
      <w:bookmarkEnd w:id="19"/>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20" w:name="_Toc28572"/>
      <w:r>
        <w:rPr>
          <w:rFonts w:hint="eastAsia" w:ascii="宋体" w:hAnsi="宋体" w:eastAsia="宋体" w:cs="宋体"/>
          <w:b/>
          <w:bCs/>
          <w:color w:val="auto"/>
          <w:sz w:val="28"/>
          <w:szCs w:val="28"/>
          <w:highlight w:val="none"/>
          <w:lang w:val="en-US" w:eastAsia="zh-CN" w:bidi="ar-SA"/>
        </w:rPr>
        <w:t>2.1项目建设背景</w:t>
      </w:r>
      <w:bookmarkEnd w:id="20"/>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排镇隶属东莞市，位于广东省东莞市东北部，东江中下游南岸，镇政府中心位置位于东经113°94′，北纬23°09′，西距东莞市区20公里、广州50公里，南往深圳70公里，北与惠州市博罗县隔江相望，是东莞市下辖的32个乡镇之一。</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排镇总面积48.7平方公里，辖18个村和1个社区，石排镇境内有龙眼岗贝丘文化遗址、红石山燕岭古采石场、塘尾明清古村落等国家级文物保护单位；有莞深高速公路、广深高速公路、广惠高速公路等高速公路过境。</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bookmarkStart w:id="21" w:name="_Hlk23257657"/>
      <w:r>
        <w:rPr>
          <w:rFonts w:hint="eastAsia" w:ascii="宋体" w:hAnsi="宋体" w:eastAsia="宋体" w:cs="宋体"/>
          <w:color w:val="auto"/>
          <w:sz w:val="21"/>
          <w:szCs w:val="21"/>
          <w:highlight w:val="none"/>
        </w:rPr>
        <w:t>据会议印发的《石排镇关于推进乡村振兴战略的实施意见（征求意见稿）》（下称《实施意见》）和《石排镇关于实施乡村振兴战略三年行动方案（2018年—2020年）（征求意见稿）》（下称《行动方案》），石排镇用于乡村振兴的资金累计达到7.7亿元，将从产业振兴、生态环境、乡村文明、基层治理、改善民生等方面，全面推动农村高质量发展，力争到 2020 年全面消灭收不抵支村，要聚焦五大重点工作，到2025年全部村（社区）达到美丽宜居村标准</w:t>
      </w:r>
      <w:bookmarkEnd w:id="21"/>
      <w:r>
        <w:rPr>
          <w:rFonts w:hint="eastAsia" w:ascii="宋体" w:hAnsi="宋体" w:eastAsia="宋体" w:cs="宋体"/>
          <w:color w:val="auto"/>
          <w:sz w:val="21"/>
          <w:szCs w:val="21"/>
          <w:highlight w:val="none"/>
        </w:rPr>
        <w:t>。</w:t>
      </w:r>
    </w:p>
    <w:bookmarkEnd w:id="18"/>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22" w:name="_Toc7893"/>
      <w:r>
        <w:rPr>
          <w:rFonts w:hint="eastAsia" w:ascii="宋体" w:hAnsi="宋体" w:eastAsia="宋体" w:cs="宋体"/>
          <w:b/>
          <w:bCs/>
          <w:color w:val="auto"/>
          <w:sz w:val="28"/>
          <w:szCs w:val="28"/>
          <w:highlight w:val="none"/>
          <w:lang w:val="en-US" w:eastAsia="zh-CN" w:bidi="ar-SA"/>
        </w:rPr>
        <w:t>2.2现状分析</w:t>
      </w:r>
      <w:bookmarkEnd w:id="22"/>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塘尾村位于东莞市石排镇中心腹地，地处东江下游，地理位置优越，。村内有镇主干线东园大道穿过，西靠广深铁路，北与松山湖交汇，距东莞市区23公里。</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塘尾村高清视频监控系统点位主要分布在村委各主要干道、道路交叉口、商业街、工业区等人员比较集中的重点区域，共投资建设133路监控画面，前端采用的摄像机为 1080P 的网络摄像机，监控中心拼接大屏为2*3拼接屏，整个项目有稳定的维护队伍进行维护，使用反馈良好。根据村委意见及现场勘察情况，本期规划利旧原有视频监控系统，对原有系统进行改造。</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但目前存在前端监控点故障多，分辨率低，线路老化，图像在线率低等问题。</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23" w:name="_Toc3789"/>
      <w:r>
        <w:rPr>
          <w:rFonts w:hint="eastAsia" w:ascii="宋体" w:hAnsi="宋体" w:eastAsia="宋体" w:cs="宋体"/>
          <w:b/>
          <w:bCs/>
          <w:color w:val="auto"/>
          <w:sz w:val="28"/>
          <w:szCs w:val="28"/>
          <w:highlight w:val="none"/>
          <w:lang w:val="en-US" w:eastAsia="zh-CN" w:bidi="ar-SA"/>
        </w:rPr>
        <w:t>2.3建设必要性分析</w:t>
      </w:r>
      <w:bookmarkEnd w:id="23"/>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24" w:name="_Toc23338"/>
      <w:r>
        <w:rPr>
          <w:rFonts w:hint="eastAsia" w:ascii="宋体" w:hAnsi="宋体" w:eastAsia="宋体" w:cs="宋体"/>
          <w:b/>
          <w:bCs/>
          <w:color w:val="auto"/>
          <w:sz w:val="21"/>
          <w:szCs w:val="21"/>
          <w:highlight w:val="none"/>
          <w:lang w:val="en-US" w:eastAsia="zh-CN" w:bidi="ar-SA"/>
        </w:rPr>
        <w:t>2.3.1建设社会公共安全体系</w:t>
      </w:r>
      <w:bookmarkEnd w:id="24"/>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国社会主义建设的主要目标，是构建社会主义“和谐社会”。而“和谐社会”的一个重要标志就是社会长治久安、人民安居乐业。由于塘尾村视频监控布点少，大部分道路、区域存在视频监控盲点，对违法犯罪分子震慑力度不大，导致上述案件发案多，视频监控系统作为公共安全体系的重要组成部分，是维护社会稳定和治安管理的重要科技手段。</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25" w:name="_Toc8628"/>
      <w:r>
        <w:rPr>
          <w:rFonts w:hint="eastAsia" w:ascii="宋体" w:hAnsi="宋体" w:eastAsia="宋体" w:cs="宋体"/>
          <w:b/>
          <w:bCs/>
          <w:color w:val="auto"/>
          <w:sz w:val="21"/>
          <w:szCs w:val="21"/>
          <w:highlight w:val="none"/>
          <w:lang w:val="en-US" w:eastAsia="zh-CN" w:bidi="ar-SA"/>
        </w:rPr>
        <w:t>2.3.2落实上级要求</w:t>
      </w:r>
      <w:bookmarkEnd w:id="25"/>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bookmarkStart w:id="26" w:name="_Hlk24982279"/>
      <w:r>
        <w:rPr>
          <w:rFonts w:hint="eastAsia" w:ascii="宋体" w:hAnsi="宋体" w:eastAsia="宋体" w:cs="宋体"/>
          <w:color w:val="auto"/>
          <w:sz w:val="21"/>
          <w:szCs w:val="21"/>
          <w:highlight w:val="none"/>
        </w:rPr>
        <w:t>贯彻落实《石排镇关于推进乡村振兴战略的实施意见（征求意见稿）》（下称《实施意见》）和《石排镇关于实施乡村振兴战略三年行动方案（2018年—2020年）（征求意见稿）》（下称《行动方案》），扩大石排镇社会治安视频监控系统的覆盖面，提升社会治安防控、打击罪犯、反恐处突等方面能力，结合石排镇实际，升级改造全镇原有891路村级治安视频监控系统，覆盖所有盲点，实现东莞市公安局规定的2020年全镇村级辖区建设1500路二类高清视频监控点的规划建设目标。</w:t>
      </w:r>
    </w:p>
    <w:bookmarkEnd w:id="26"/>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27" w:name="_Toc2534"/>
      <w:r>
        <w:rPr>
          <w:rFonts w:hint="eastAsia" w:ascii="宋体" w:hAnsi="宋体" w:eastAsia="宋体" w:cs="宋体"/>
          <w:b/>
          <w:bCs/>
          <w:color w:val="auto"/>
          <w:sz w:val="21"/>
          <w:szCs w:val="21"/>
          <w:highlight w:val="none"/>
          <w:lang w:val="en-US" w:eastAsia="zh-CN" w:bidi="ar-SA"/>
        </w:rPr>
        <w:t>2.3.3提升治安防范水平</w:t>
      </w:r>
      <w:bookmarkEnd w:id="27"/>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排镇把大力加强社会治安防范作为平安建设的主要措施来落实，有效地提升技术防范水平，将治安防范设施建设纳入城市基础设施建设和民用建筑建设的总体规划，进行综合设计，同步规划和独立验收。因此，针对社会治安的新特点，组织有关部门逐步建立和完善“打、防、控、管理、服务”一体化的工作机制，充分发挥现代科学技术在治安管理和防范中的作用，对社会治安实行动态管理，建立快速反应机制，加强社会面的控制，堵塞违法犯罪漏洞，减少社会治安问题。整合人防、物防、技防，实现三者与管理、服务的有机统一，形成安全防范体系。</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28" w:name="_Toc8654"/>
      <w:r>
        <w:rPr>
          <w:rFonts w:hint="eastAsia" w:ascii="宋体" w:hAnsi="宋体" w:eastAsia="宋体" w:cs="宋体"/>
          <w:b/>
          <w:bCs/>
          <w:color w:val="auto"/>
          <w:sz w:val="21"/>
          <w:szCs w:val="21"/>
          <w:highlight w:val="none"/>
          <w:lang w:val="en-US" w:eastAsia="zh-CN" w:bidi="ar-SA"/>
        </w:rPr>
        <w:t>2.3.4支撑业务发展，实现科技强警</w:t>
      </w:r>
      <w:bookmarkEnd w:id="28"/>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警力有限、各系统信息分散，各基层派出所在工作中只能抓重点，疲于应付案件，无法兼顾全面防范的要求，防范工作跟不上，以至出现刑事犯罪“打不胜打”的现象。另一方面，资源分散，快速反应难以真正实现。目前，石排镇虽然建设了城市建设高清平台、部分道路监控、重点场所监控和治安卡口系统，并取得了一定的成效，但是资源分割比较严重，难以对区范围内所发生的不稳定事件做出快速调度和反应，及时提供决策信息。因此，需要以现有的高清治安监控系统为依托，增建高清视频监控，使监控覆盖面更广，实现资源共享，提高整体联动水平和快速处置能力，减少警务活动成本，保障执法质量，缓解警力不足、经费短缺与任务日益繁重的矛盾。</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29" w:name="_Toc7370"/>
      <w:r>
        <w:rPr>
          <w:rFonts w:hint="eastAsia" w:ascii="宋体" w:hAnsi="宋体" w:eastAsia="宋体" w:cs="宋体"/>
          <w:b/>
          <w:bCs/>
          <w:color w:val="auto"/>
          <w:sz w:val="21"/>
          <w:szCs w:val="21"/>
          <w:highlight w:val="none"/>
          <w:lang w:val="en-US" w:eastAsia="zh-CN" w:bidi="ar-SA"/>
        </w:rPr>
        <w:t>2.3.5事件可追溯</w:t>
      </w:r>
      <w:bookmarkEnd w:id="29"/>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通过对高清治安视频监控系统盲区补点，可以对区域内发生的事情进行连续30天每天24小时有效地记录，当出现案件时，可通过录像进行追溯，有效地提高了石排镇治安防范水平。</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30" w:name="_Toc1840"/>
      <w:r>
        <w:rPr>
          <w:rFonts w:hint="eastAsia" w:ascii="宋体" w:hAnsi="宋体" w:eastAsia="宋体" w:cs="宋体"/>
          <w:b/>
          <w:bCs/>
          <w:color w:val="auto"/>
          <w:sz w:val="21"/>
          <w:szCs w:val="21"/>
          <w:highlight w:val="none"/>
          <w:lang w:val="en-US" w:eastAsia="zh-CN" w:bidi="ar-SA"/>
        </w:rPr>
        <w:t>2.3.6优化管理体系</w:t>
      </w:r>
      <w:bookmarkEnd w:id="30"/>
    </w:p>
    <w:p>
      <w:pPr>
        <w:widowControl/>
        <w:wordWrap/>
        <w:adjustRightInd w:val="0"/>
        <w:snapToGrid w:val="0"/>
        <w:spacing w:after="0" w:line="360" w:lineRule="auto"/>
        <w:ind w:left="0" w:leftChars="0" w:right="0" w:firstLine="420" w:firstLineChars="200"/>
        <w:jc w:val="left"/>
        <w:textAlignment w:val="auto"/>
        <w:outlineLvl w:val="9"/>
        <w:rPr>
          <w:rFonts w:hint="eastAsia"/>
          <w:color w:val="auto"/>
          <w:highlight w:val="none"/>
          <w:lang w:val="en-US" w:eastAsia="zh-CN"/>
        </w:rPr>
      </w:pPr>
      <w:r>
        <w:rPr>
          <w:rFonts w:hint="eastAsia" w:ascii="宋体" w:hAnsi="宋体" w:eastAsia="宋体" w:cs="宋体"/>
          <w:color w:val="auto"/>
          <w:sz w:val="21"/>
          <w:szCs w:val="21"/>
          <w:highlight w:val="none"/>
        </w:rPr>
        <w:t>目前，对于一些监控盲区，采用警员巡检，每个盲区花费大量时间，浪费了大量的人力。这种人工方式必将越来越凸显出它的低效性、不科学、不合理。随着本次补盲，高清视频监控点不断增加，巡检人员将可以通过高清视频监控系统对现场情况进行高效的实时监控，改变了现有低效的人工管理方式，提高管理效率，节约了管理成本的投入。</w:t>
      </w:r>
      <w:bookmarkStart w:id="31" w:name="_Toc2976"/>
    </w:p>
    <w:p>
      <w:pPr>
        <w:keepNext/>
        <w:keepLines/>
        <w:numPr>
          <w:numId w:val="0"/>
        </w:numPr>
        <w:tabs>
          <w:tab w:val="left" w:pos="8286"/>
        </w:tabs>
        <w:adjustRightInd w:val="0"/>
        <w:snapToGrid w:val="0"/>
        <w:spacing w:before="120" w:beforeLines="0" w:beforeAutospacing="0" w:after="120" w:afterLines="0" w:afterAutospacing="0" w:line="360" w:lineRule="auto"/>
        <w:ind w:leftChars="0" w:firstLine="0"/>
        <w:jc w:val="both"/>
        <w:outlineLvl w:val="0"/>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三、需求分析</w:t>
      </w:r>
      <w:bookmarkEnd w:id="31"/>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32" w:name="_Toc29270"/>
      <w:r>
        <w:rPr>
          <w:rFonts w:hint="eastAsia" w:ascii="宋体" w:hAnsi="宋体" w:eastAsia="宋体" w:cs="宋体"/>
          <w:b/>
          <w:bCs/>
          <w:color w:val="auto"/>
          <w:sz w:val="28"/>
          <w:szCs w:val="28"/>
          <w:highlight w:val="none"/>
          <w:lang w:val="en-US" w:eastAsia="zh-CN" w:bidi="ar-SA"/>
        </w:rPr>
        <w:t>3.1业务需求分析</w:t>
      </w:r>
      <w:bookmarkEnd w:id="32"/>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石排镇塘尾村村级视频监控已建成133路枪机，本次方案更换原有133路200万像素旧监控点为全新800万像素高清监控点，并在投放使用期间达到预期的使用功能，在治安管理中发挥重要作用。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根据村委的反馈，原有旧的133路摄像机像素低，清晰度不高，设备老旧经常掉线，使村委无法及时掌握覆盖区域外的事件情况，难以对事态发展做出预判，最终导致无法准确、及时、有效地处理突发事件。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现场调研核实，原有旧的133路中基本上无法使用正常，满足村委各项要求，依据村委的意见需全部更换；其中有在大部分摄像机还存在中间传输线路损坏导致无图像显示，经与村委协商确认将此次133路摄像机线路做重点改造，传输线路尽量走地面敷设布放。</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贯彻落实《石排镇关于推进乡村振兴战略的实施意见（征求意见稿）》（下称《实施意见》）和《石排镇关于实施乡村振兴战略三年行动方案（2018年—2020年）（征求意见稿）》（下称《行动方案》），扩大石排镇社会治安视频监控系统的覆盖面，提升社会治安防控、打击罪犯、反恐处突等方面能力，结合石排镇实际，升级改造全镇原有891路村级治安视频监控系统，覆盖所有盲点，实现东莞市公安局规定的2020年全镇村级辖区建设1500路二类高清视频监控点的规划建设目标。</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为提高塘尾村治安防控体系，扩大高清监控覆盖面，对部分盲点区域进行补点，本期项目决定对塘尾村原有133路旧的视频监控前端设备进行全部更换升级，同时对133路旧的视频监控线路进行更换升级。</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33" w:name="_Toc25935"/>
      <w:r>
        <w:rPr>
          <w:rFonts w:hint="eastAsia" w:ascii="宋体" w:hAnsi="宋体" w:eastAsia="宋体" w:cs="宋体"/>
          <w:b/>
          <w:bCs/>
          <w:color w:val="auto"/>
          <w:sz w:val="28"/>
          <w:szCs w:val="28"/>
          <w:highlight w:val="none"/>
          <w:lang w:val="en-US" w:eastAsia="zh-CN" w:bidi="ar-SA"/>
        </w:rPr>
        <w:t>3.2功能需求分析</w:t>
      </w:r>
      <w:bookmarkEnd w:id="33"/>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34" w:name="_Toc19844"/>
      <w:r>
        <w:rPr>
          <w:rFonts w:hint="eastAsia" w:ascii="宋体" w:hAnsi="宋体" w:eastAsia="宋体" w:cs="宋体"/>
          <w:b/>
          <w:bCs/>
          <w:color w:val="auto"/>
          <w:sz w:val="21"/>
          <w:szCs w:val="21"/>
          <w:highlight w:val="none"/>
          <w:lang w:val="en-US" w:eastAsia="zh-CN" w:bidi="ar-SA"/>
        </w:rPr>
        <w:t>3.2.1前端高清监控点需求</w:t>
      </w:r>
      <w:bookmarkEnd w:id="34"/>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前端视频点位采集图像效果，摄像机应至少选择800万像素以上星光级低照度摄像机，最大图像分辨率达到3840×2160及以上，彩色最低照度应≤0.005LUX，黑白最低照度应≤0.0001LUX。</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夜间环境光线不佳的情况要考虑架设补光灯，安装时补光灯与摄像机应保持一定的距离，以高于摄像机为宜，避免补光灯的光线直接照射到摄像机的镜头，光源的光照区域应与摄像机镜头主画面区域保持一致，确保摄像机监控区域中出现的目标可以受光，利于夜间在视频上依然能辨识人员轮廓、车辆外形。</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35" w:name="_Toc28216"/>
      <w:r>
        <w:rPr>
          <w:rFonts w:hint="eastAsia" w:ascii="宋体" w:hAnsi="宋体" w:eastAsia="宋体" w:cs="宋体"/>
          <w:b/>
          <w:bCs/>
          <w:color w:val="auto"/>
          <w:sz w:val="21"/>
          <w:szCs w:val="21"/>
          <w:highlight w:val="none"/>
          <w:lang w:val="en-US" w:eastAsia="zh-CN" w:bidi="ar-SA"/>
        </w:rPr>
        <w:t>3.2.2网络带宽需求</w:t>
      </w:r>
      <w:bookmarkEnd w:id="35"/>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监控前端接入线路满足视频监控前端数据传输需求，同时考虑到网络传输过程中的开销，800万前端二类点按平均4Mbps带宽计算，提供30%的带宽冗余，则至少提供(80)*4*(1+30%)=416Mbps以上的接入带宽。考虑有多个用户并发调用视频，本次设计按最多3个用户并发，则上行带宽至少为416*3=1248Mbps。</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36" w:name="_Toc27157"/>
      <w:r>
        <w:rPr>
          <w:rFonts w:hint="eastAsia" w:ascii="宋体" w:hAnsi="宋体" w:eastAsia="宋体" w:cs="宋体"/>
          <w:b/>
          <w:bCs/>
          <w:color w:val="auto"/>
          <w:sz w:val="21"/>
          <w:szCs w:val="21"/>
          <w:highlight w:val="none"/>
          <w:lang w:val="en-US" w:eastAsia="zh-CN" w:bidi="ar-SA"/>
        </w:rPr>
        <w:t>3.2.3网络质量需求</w:t>
      </w:r>
      <w:bookmarkEnd w:id="36"/>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联网系统IP网络的传输质量（如传输时延、包丢失率、包误差率、虚假包率等）应符合如下要求：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网络时延上限值为：150ms；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时延抖动上限值为：50ms；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丢包率上限值为：1×10-3；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包误差率上限值为：1×10-4。</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37" w:name="_Toc24255"/>
      <w:r>
        <w:rPr>
          <w:rFonts w:hint="eastAsia" w:ascii="宋体" w:hAnsi="宋体" w:eastAsia="宋体" w:cs="宋体"/>
          <w:b/>
          <w:bCs/>
          <w:color w:val="auto"/>
          <w:sz w:val="28"/>
          <w:szCs w:val="28"/>
          <w:highlight w:val="none"/>
          <w:lang w:val="en-US" w:eastAsia="zh-CN" w:bidi="ar-SA"/>
        </w:rPr>
        <w:t>3.3存储需求</w:t>
      </w:r>
      <w:bookmarkEnd w:id="37"/>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在本次项目设计中，石排镇以高标准、高起点的超前建设思路进行设计，结合最新的H.265算法，采用了性能更优，性价比更高前端摄像机，不仅在图像质量方面达到了高清的显示效果，同时节省了存储空间。</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视频图像按H.265编码进行传输，视频录像保存30天。</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38" w:name="_Toc369"/>
      <w:r>
        <w:rPr>
          <w:rFonts w:hint="eastAsia" w:ascii="宋体" w:hAnsi="宋体" w:eastAsia="宋体" w:cs="宋体"/>
          <w:b/>
          <w:bCs/>
          <w:color w:val="auto"/>
          <w:sz w:val="28"/>
          <w:szCs w:val="28"/>
          <w:highlight w:val="none"/>
          <w:lang w:val="en-US" w:eastAsia="zh-CN" w:bidi="ar-SA"/>
        </w:rPr>
        <w:t>3.4信息安全保障需求</w:t>
      </w:r>
      <w:bookmarkEnd w:id="38"/>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39" w:name="_Toc10999"/>
      <w:r>
        <w:rPr>
          <w:rFonts w:hint="eastAsia" w:ascii="宋体" w:hAnsi="宋体" w:eastAsia="宋体" w:cs="宋体"/>
          <w:b/>
          <w:bCs/>
          <w:color w:val="auto"/>
          <w:sz w:val="21"/>
          <w:szCs w:val="21"/>
          <w:highlight w:val="none"/>
          <w:lang w:val="en-US" w:eastAsia="zh-CN" w:bidi="ar-SA"/>
        </w:rPr>
        <w:t>3.4.1物理安全</w:t>
      </w:r>
      <w:bookmarkEnd w:id="39"/>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通过环境安全、设备安全、媒体安全等措施，保护系统设备、设施、媒体和信息，使之不因自然灾害、环境事故以及人为物理操作失误或错误，不因各种以物理手段进行违法犯罪活动，而造成破坏、丢失。</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40" w:name="_Toc32385"/>
      <w:r>
        <w:rPr>
          <w:rFonts w:hint="eastAsia" w:ascii="宋体" w:hAnsi="宋体" w:eastAsia="宋体" w:cs="宋体"/>
          <w:b/>
          <w:bCs/>
          <w:color w:val="auto"/>
          <w:sz w:val="21"/>
          <w:szCs w:val="21"/>
          <w:highlight w:val="none"/>
          <w:lang w:val="en-US" w:eastAsia="zh-CN" w:bidi="ar-SA"/>
        </w:rPr>
        <w:t>3.4.2应用安全</w:t>
      </w:r>
      <w:bookmarkEnd w:id="40"/>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支持多级用户管理，每个用户有用户名和密码，保证可靠性。</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整个系统有一或多个系统管理员，对全网的用户有配置权限，可选的对设备有操作权限，可对每个用户的每个动作进行监控。</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防止视频被非授权范围内使用，包含外部非授权用户使用视频，以及防止内部用户越权使用。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可以限制符合要求的MAC地址或ip地址电脑才能登陆平台，系统应具备白名单登陆平台功能。</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41" w:name="_Toc17602"/>
      <w:r>
        <w:rPr>
          <w:rFonts w:hint="eastAsia" w:ascii="宋体" w:hAnsi="宋体" w:eastAsia="宋体" w:cs="宋体"/>
          <w:b/>
          <w:bCs/>
          <w:color w:val="auto"/>
          <w:sz w:val="21"/>
          <w:szCs w:val="21"/>
          <w:highlight w:val="none"/>
          <w:lang w:val="en-US" w:eastAsia="zh-CN" w:bidi="ar-SA"/>
        </w:rPr>
        <w:t>3.4.3数据安全</w:t>
      </w:r>
      <w:bookmarkEnd w:id="41"/>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在数据传输过程中采用加密手段，利用国家批准的密码算法对数据加密，保证数据安全。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充分考虑各种可能出现的非法访问、恶意攻击、设备故障等因素，切实保障视频存储安全。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对数据资源访问规定不同的访问等级，不同用户只可访问经过授权的数据资源。同时，要加强对数据资源访问的安全审计。</w:t>
      </w:r>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42" w:name="_Toc23503"/>
      <w:r>
        <w:rPr>
          <w:rFonts w:hint="eastAsia" w:ascii="宋体" w:hAnsi="宋体" w:eastAsia="宋体" w:cs="宋体"/>
          <w:b/>
          <w:bCs/>
          <w:color w:val="auto"/>
          <w:sz w:val="28"/>
          <w:szCs w:val="28"/>
          <w:highlight w:val="none"/>
          <w:lang w:val="en-US" w:eastAsia="zh-CN" w:bidi="ar-SA"/>
        </w:rPr>
        <w:t>3.5信息资源共享需求</w:t>
      </w:r>
      <w:bookmarkEnd w:id="42"/>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上级单位和其他相关单位的信息资源共享在保障网络安全的前提下，通过《安全防范视频监控联网系统信息传输、交换、控制技术要求》（GB/T 28181-2016）规范进行信息资源对接共享。</w:t>
      </w:r>
    </w:p>
    <w:p>
      <w:pPr>
        <w:rPr>
          <w:rFonts w:hint="eastAsia"/>
          <w:color w:val="auto"/>
          <w:highlight w:val="none"/>
          <w:lang w:val="en-US" w:eastAsia="zh-CN"/>
        </w:rPr>
      </w:pPr>
      <w:bookmarkStart w:id="43" w:name="_Toc5098"/>
    </w:p>
    <w:p>
      <w:pPr>
        <w:keepNext/>
        <w:keepLines/>
        <w:numPr>
          <w:numId w:val="0"/>
        </w:numPr>
        <w:tabs>
          <w:tab w:val="left" w:pos="8286"/>
        </w:tabs>
        <w:adjustRightInd w:val="0"/>
        <w:snapToGrid w:val="0"/>
        <w:spacing w:before="120" w:beforeLines="0" w:beforeAutospacing="0" w:after="120" w:afterLines="0" w:afterAutospacing="0" w:line="360" w:lineRule="auto"/>
        <w:ind w:leftChars="0" w:firstLine="0"/>
        <w:jc w:val="both"/>
        <w:outlineLvl w:val="0"/>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四、项目建设方案</w:t>
      </w:r>
      <w:bookmarkEnd w:id="43"/>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bookmarkStart w:id="44" w:name="_Toc961"/>
      <w:r>
        <w:rPr>
          <w:rFonts w:hint="eastAsia" w:ascii="宋体" w:hAnsi="宋体" w:eastAsia="宋体" w:cs="宋体"/>
          <w:b/>
          <w:bCs/>
          <w:color w:val="auto"/>
          <w:sz w:val="28"/>
          <w:szCs w:val="28"/>
          <w:highlight w:val="none"/>
          <w:lang w:val="en-US" w:eastAsia="zh-CN" w:bidi="ar-SA"/>
        </w:rPr>
        <w:t>4.1建设原则</w:t>
      </w:r>
      <w:bookmarkEnd w:id="44"/>
    </w:p>
    <w:p>
      <w:pPr>
        <w:widowControl/>
        <w:numPr>
          <w:ilvl w:val="0"/>
          <w:numId w:val="3"/>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统一标准原则</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在系统建设中，严格按照GB/T 28181-2016《安全防范视频监控联网系统传输、交换、控制技术要求》，建设村级高清视频监控系统，确保高清监控系统互联互通。</w:t>
      </w:r>
    </w:p>
    <w:p>
      <w:pPr>
        <w:widowControl/>
        <w:numPr>
          <w:ilvl w:val="0"/>
          <w:numId w:val="3"/>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先进实用原则</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系统建设中，既要满足各业务需求，又要充分考虑未来发展需求，采用的系统必须用先进、成熟、主流的技术；采用的产品必须质量达标，性能稳定，能持续有效运行；采用的应用软件必须界面友好、操作简便，满足实战需求。</w:t>
      </w:r>
    </w:p>
    <w:p>
      <w:pPr>
        <w:widowControl/>
        <w:numPr>
          <w:ilvl w:val="0"/>
          <w:numId w:val="3"/>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资源共享原则</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在系统建设中，要充分论证、科学规划、合理布建，站在全局一盘棋的角度，满足大公安的应用需求，坚持视频资源高度共享。要结合实际，充分考虑实战应用和政府其他部门视频共享的需求。</w:t>
      </w:r>
      <w:bookmarkStart w:id="45" w:name="_Toc31737"/>
      <w:bookmarkStart w:id="46" w:name="_Toc518293837"/>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r>
        <w:rPr>
          <w:rFonts w:hint="eastAsia" w:ascii="宋体" w:hAnsi="宋体" w:eastAsia="宋体" w:cs="宋体"/>
          <w:b/>
          <w:bCs/>
          <w:color w:val="auto"/>
          <w:sz w:val="28"/>
          <w:szCs w:val="28"/>
          <w:highlight w:val="none"/>
          <w:lang w:val="en-US" w:eastAsia="zh-CN" w:bidi="ar-SA"/>
        </w:rPr>
        <w:t>4.2前端设计</w:t>
      </w:r>
      <w:bookmarkEnd w:id="45"/>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47" w:name="_Toc19339"/>
      <w:r>
        <w:rPr>
          <w:rFonts w:hint="eastAsia" w:ascii="宋体" w:hAnsi="宋体" w:eastAsia="宋体" w:cs="宋体"/>
          <w:b/>
          <w:bCs/>
          <w:color w:val="auto"/>
          <w:sz w:val="21"/>
          <w:szCs w:val="21"/>
          <w:highlight w:val="none"/>
          <w:lang w:val="en-US" w:eastAsia="zh-CN" w:bidi="ar-SA"/>
        </w:rPr>
        <w:t>4.2.1拓扑图</w:t>
      </w:r>
      <w:bookmarkEnd w:id="47"/>
    </w:p>
    <w:p>
      <w:pPr>
        <w:rPr>
          <w:rFonts w:hint="eastAsia"/>
          <w:color w:val="auto"/>
          <w:highlight w:val="none"/>
        </w:rPr>
      </w:pPr>
      <w:r>
        <w:rPr>
          <w:rFonts w:hint="eastAsia" w:ascii="宋体" w:hAnsi="宋体" w:eastAsia="宋体" w:cs="宋体"/>
          <w:color w:val="auto"/>
          <w:sz w:val="21"/>
          <w:szCs w:val="21"/>
          <w:highlight w:val="none"/>
          <w:lang w:val="en-US" w:eastAsia="zh-CN" w:bidi="ar-SA"/>
        </w:rPr>
        <w:pict>
          <v:shape id="图片 2" o:spid="_x0000_s1029" type="#_x0000_t75" style="height:220.15pt;width:450.25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bookmarkEnd w:id="46"/>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48" w:name="_Toc17882"/>
      <w:r>
        <w:rPr>
          <w:rFonts w:hint="eastAsia" w:ascii="宋体" w:hAnsi="宋体" w:eastAsia="宋体" w:cs="宋体"/>
          <w:b/>
          <w:bCs/>
          <w:color w:val="auto"/>
          <w:sz w:val="21"/>
          <w:szCs w:val="21"/>
          <w:highlight w:val="none"/>
          <w:lang w:val="en-US" w:eastAsia="zh-CN" w:bidi="ar-SA"/>
        </w:rPr>
        <w:t>4.2.2前端高清视频监控设计</w:t>
      </w:r>
      <w:bookmarkEnd w:id="48"/>
    </w:p>
    <w:p>
      <w:pPr>
        <w:keepNext/>
        <w:keepLines/>
        <w:widowControl/>
        <w:numPr>
          <w:numId w:val="0"/>
        </w:numPr>
        <w:tabs>
          <w:tab w:val="left" w:pos="8286"/>
        </w:tabs>
        <w:wordWrap/>
        <w:adjustRightInd w:val="0"/>
        <w:snapToGrid w:val="0"/>
        <w:spacing w:before="0" w:after="0" w:line="360" w:lineRule="auto"/>
        <w:ind w:left="0" w:leftChars="0" w:right="0" w:firstLine="422" w:firstLineChars="200"/>
        <w:jc w:val="left"/>
        <w:textAlignment w:val="auto"/>
        <w:outlineLvl w:val="3"/>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4.2.2.1前端架构设计</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监控系统架构主要分前端、传输、及后端三部分，其中：</w:t>
      </w:r>
    </w:p>
    <w:p>
      <w:pPr>
        <w:widowControl/>
        <w:numPr>
          <w:ilvl w:val="0"/>
          <w:numId w:val="3"/>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前端组成：</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主要包括星光级高清网络监控摄像机、支架、供电设备、防雷接地装置。前端设备是整个监控系统的眼睛，前端的布点合理，安装质量直接影响系统的应用效率。</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1、摄像机</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摄像机是治安高清监控系统重要组成设备，用于视频图像的采集，主要分为高清网络枪机和高清网络球机，根据应用场合采用枪机或球机或枪球结合模式，合理配置以满足图像采集的效果要求与经济性要求。</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支架是摄像机安装固定的重要组件，根据摄像机安装的位置，可以合理选择枪机支架或球机支架。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3、补光灯（根据环境情况配置）</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光灯是枪机必要的夜视补光设备，为了满足夜视采集图像效果好，可以合理调整补光灯照射角度(球机不需要补光灯)。避免把补光灯安装在摄像机正对的位置，尽量使光源最大光强方向与垂线方向夹角小于65°，并能按实际需要进行手动调整光源照射方向；补光灯与摄像机保持一定的距离，并以高出摄像机为宜。</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4、防雷器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电源防雷器（SPD）又名避雷器，浪涌保护器，电涌保护器。主要防止摄像机被雷电击中，造成摄像机等设备的损坏，传输中断、系统瘫痪等问题。</w:t>
      </w:r>
    </w:p>
    <w:p>
      <w:pPr>
        <w:widowControl/>
        <w:numPr>
          <w:ilvl w:val="0"/>
          <w:numId w:val="3"/>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后端组成：</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主要包括综合管理系统及硬件、存储系统及硬件、控制与调度系统及硬件、显示系统及硬件。</w:t>
      </w:r>
    </w:p>
    <w:p>
      <w:pPr>
        <w:ind w:firstLine="560"/>
        <w:rPr>
          <w:color w:val="auto"/>
          <w:highlight w:val="none"/>
        </w:rPr>
      </w:pPr>
      <w:r>
        <w:rPr>
          <w:rFonts w:ascii="Tahoma" w:hAnsi="Tahoma" w:eastAsia="微软雅黑" w:cs="黑体"/>
          <w:color w:val="auto"/>
          <w:sz w:val="22"/>
          <w:szCs w:val="22"/>
          <w:highlight w:val="none"/>
          <w:lang w:val="en-US" w:eastAsia="zh-CN" w:bidi="ar-SA"/>
        </w:rPr>
        <w:pict>
          <v:shape id="图片 3" o:spid="_x0000_s1030" type="#_x0000_t75" style="height:192.95pt;width:393.7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p>
      <w:pPr>
        <w:widowControl/>
        <w:wordWrap/>
        <w:adjustRightInd w:val="0"/>
        <w:snapToGrid w:val="0"/>
        <w:spacing w:after="0" w:line="36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架构示意图</w:t>
      </w:r>
    </w:p>
    <w:p>
      <w:pPr>
        <w:keepNext/>
        <w:keepLines/>
        <w:widowControl/>
        <w:numPr>
          <w:numId w:val="0"/>
        </w:numPr>
        <w:tabs>
          <w:tab w:val="left" w:pos="8286"/>
        </w:tabs>
        <w:wordWrap/>
        <w:adjustRightInd w:val="0"/>
        <w:snapToGrid w:val="0"/>
        <w:spacing w:before="0" w:after="0" w:line="360" w:lineRule="auto"/>
        <w:ind w:left="0" w:leftChars="0" w:right="0" w:firstLine="422" w:firstLineChars="200"/>
        <w:jc w:val="left"/>
        <w:textAlignment w:val="auto"/>
        <w:outlineLvl w:val="3"/>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4.2.2.2图像处理技术设计</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H.265编解码技术</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H.265标准全称为高效视频编码(High Efficiency Video Coding)，H.265标准围绕着现有的视频编码标准H.264，保留原来的某些技术，同时对一些相关的技术加以改进。新技术使用先进的技术用以改善码流、编码质量、延时和算法复杂度之间的关系，达到最优化设置。具体的研究内容包括：提高压缩效率、提高鲁棒性和错误恢复能力、减少实时的时延、减少信道获取时间和随机接入时延、降低复杂度等。H264由于算法优化，可以低于1Mbps的速度实现标清数字图像传送；H265则可以实现利用1~2Mbps的传输速度传送720P（分辨率1280*720）普通高清音视频传送。</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起H.264/AVC，H.265/HEVC提供了更多不同的工具来降低码率，以编码单位来说，H.264中每个宏块(marcoblock,MB)大小都是固定的16x16像素，而H.265的编码单位可以选择从最小的8x8到最大的64x64。信息量不多的区域（颜色变化不明显，比如车体的红色部分和地面的灰色部分）划分的宏块较大，编码后的码字较少，而细节多的地方（轮胎）划分的宏块就相应的小和多一些，编码后的码字较多，这样就相当于对图像进行了有重点的编码，从而降低了整体的码率，编码效率就相应提高了。同时，H.265的帧内预测模式支持33种方向（H.264只支持8种）,并且提供了更好的运动补偿处理和矢量预测方法。</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265旨在在有限带宽下传输更高质量的网络视频，仅需原先的一半带宽即可播放相同质量的视频编解码技术。由于编解码效率的提高，在传输带宽、存储空间具有明显的节省投资的作用，且为后续更高视频分辨率的发展提供技术基础。</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纠错技术</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网络摄像机在通过网络发送视频数据时，如果碰到网络异常，通信不稳定，丢包率高，就会导致接收的数据包不完整，无法正常解码回放，图像出现花屏和卡顿等现场。</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送数据时，将要发送的数据附加上一定的冗余纠错码一并发送，接收方则根据纠错码对数据进行差错检测，如发现差错，由接收方采用SEC恢复算法将丢失的报文恢复出来，从而能够有效提升视频观看效果，避免图像花屏、视频卡顿现象发生。通过这项SEC超强纠错技术，智能网络摄像机可以实现在网络丢包率不超过20%时，实现图像正常显示，无花屏和卡顿现象发生。</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带宽自适应</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网络状况差时，图像因网络传输中数据堵塞而连续性差、画面卡顿。可通过带宽自适应技术在网络带宽不足而导致系统自动降低编码码率时，适当降低图像的画质（清晰度），但画面依然流畅、连续可看。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摄像机根据丢包率数据判断网络带宽是否足够；在网络带宽不足时，摄像机动态设置一个比用户设置的编码码率低的值，使摄像机编码的码率适应当前的传输网络带宽；摄像机如果判断带宽充足时，则会动态上调编码的码率值，码率上限为用户配置的码率值。</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区域裁剪/ePTZ技术</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裁剪/ePTZ技术，用户可以在监控画面内对重点想关注的任一局部区域进行ePTZ操作（平移、放大），并对该区域进行裁剪放大显示，并将选中的区域视频通过摄像机子码流往平台传输。用户查看监控录像时，可以只连接摄像的子码流，对于画面内其他不关注的部位则不需要通过网络传输，从而降低视频流传输对网络带宽的占用和对存储容量的需求。也可以在平台实现一路看全景画面，另一路看需要放大监控的重点区域，实现全局和重点区域相结合的方式。</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ROI图像感兴趣区域</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清网络摄像机使得图像清晰度有了质的飞跃，同时也给高清视频监控系统带来了带宽、存储等连带问题。为了减轻带宽传输视频数据及存储数据的压力，进一步优化高清视频监控系统在各行业领域的应用和推广。依据客户在观看监控视频时，通常只对某一些特定区域感兴趣的这一特点（通常为视频关键区域内的图像要尽可能清晰，其他部分图像可以相对模糊一些）。网络摄像机内置ROI图像感兴趣区域压缩编码技术，在带宽不足的条件下，保障区域有效监控。</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可以在监控画面上指定一个或多个区域，让这些区域的图像质量和其他区域不同，可以指定感兴趣区域图像质量高于/低于其他区域。即在图像中对感兴趣区域进行近无损压缩（高码流），而对其他非感兴趣区域进行有损压缩（低码流）。这样既可使得重构图像有较高的视频质量，又可得到较高的压缩比，很好地解决了带宽要求高、存储空间大的问题。</w:t>
      </w:r>
    </w:p>
    <w:p>
      <w:pPr>
        <w:keepNext/>
        <w:keepLines/>
        <w:widowControl/>
        <w:numPr>
          <w:numId w:val="0"/>
        </w:numPr>
        <w:tabs>
          <w:tab w:val="left" w:pos="8286"/>
        </w:tabs>
        <w:wordWrap/>
        <w:adjustRightInd w:val="0"/>
        <w:snapToGrid w:val="0"/>
        <w:spacing w:before="0" w:after="0" w:line="360" w:lineRule="auto"/>
        <w:ind w:left="0" w:leftChars="0" w:right="0" w:firstLine="422" w:firstLineChars="200"/>
        <w:jc w:val="left"/>
        <w:textAlignment w:val="auto"/>
        <w:outlineLvl w:val="3"/>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4.2.2.3功能性设计</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1视频采集</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为满足中心实时视频预览和存储录像回放查看的要求，前端感知分系统应具备如下功能：</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能够采集和传输不同分辨率下的昼夜实时视频；</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支持视频的亮度、对比度、饱和度等参数的动态调节；</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2实时透雾</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基于大气透射模型，区分图像不同区域景深与雾浓度进行滤波处理，同时融合图像增强技术与图像复原技术，获得准确、自然的透雾图像。</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3智能控制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1）智能Smart IR</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新一代Smart IR技术可自动检测画面亮度，通过内部算法自适应调节红外灯亮度以及画面亮度，从而达到抑制近处物体过曝同时保证背景区域亮度的效果。</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2）ABF自动背焦调节</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部分枪机具有ABF(自动后焦调节)功能，通过摄像机上的ABF按钮或者客户端/IE上的辅助聚焦等按钮可自动或手动实现图像传感器的细微调整，从而达到微调焦距的作用，方便了安装调试。</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3）AF自动对焦</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普通电动镜头受减速齿轮控制，聚集速度慢，且不能实现实时全自动聚焦，只支持一键辅助聚焦；齿轮不具备自锁功能，所以不抗震；</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电动镜头支持变倍后自动对焦功能（AF），无需手动聚清，且聚焦速度快，同时具有自锁功能，抗震效果好。</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4智能侦测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1）行为侦测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智能行为侦测功能支持越界、进入/离开区域、区域入侵、徘徊、人员聚焦、快速移动、非法停车、物品遗留/拿取等异常事件的自动侦测与报警，变被动监控为主动防控；</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摄像机侦测到以上行为后可联动报警及录像等功能。</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2）人脸侦测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支持对画面中的人脸进行自动检测。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3）音频侦测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摄像机音频侦测功能可对声音的强度进行检测，当检测到无音源输入或某一时刻音频强度超过声音强度阈值时，可实现自动预警。同时具备环境噪音过滤功能，可通过软件算法处理的方式缓解背景噪声对音质带来的影响。</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4）场景侦测</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视频质量诊断技术可对场景变更、图像虚焦问题进行自动分析检测，并联动报警；</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场景模式可对各种场景下的参数进行预设，方便客户选择；</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支持日夜两套参数配置，可实现自动切换。</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5运行维护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为实现中心实时监控摄像机的设备状态，系统具备如下功能：</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能够提供摄像机的工作状态；</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能够支持中心对摄像机的批量校时；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能够远程重启摄像机；</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bookmarkStart w:id="49" w:name="_Ref367204729"/>
      <w:bookmarkStart w:id="50" w:name="_Toc326565329"/>
      <w:bookmarkStart w:id="51" w:name="_Toc329347906"/>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6防雷接地</w:t>
      </w:r>
      <w:bookmarkEnd w:id="49"/>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为保护摄像机不受到直接雷击而在立杆上设计安装避雷针，避雷针采用不小于φ25㎜的圆钢，并和立杆一次成型。在设备箱内我们对电源、信号线安装相应的防感应雷措施，采用二合一防雷模块。</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本方案严格执行国家的有关标准和规范，立杆防雷接地电阻≦10Ω。</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地网布置依据地形进行设计。立杆的基础由钢筋网加混凝土构成，首先用四根Ф50毫米的钢管或50×50×5mm的角钢作为接地极，同时用镀锌扁钢把四根接地极焊接形成接地网的一部分，再此接地网与法兰盘进行焊接，钢管或角钢需经过热镀锌工艺处理，以增加抗腐性能和提高其导电性能。当土壤电阻率太高而不能满足要求时，采用垂直接地极＋减阻剂的方法使地网接地电阻符合要求。</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bookmarkStart w:id="52" w:name="_Ref367204742"/>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7前端供电</w:t>
      </w:r>
      <w:bookmarkEnd w:id="50"/>
      <w:bookmarkEnd w:id="51"/>
      <w:bookmarkEnd w:id="52"/>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前端设备视工程实际情况，可采用集中供电或分散式供电，重要点位应配备相应的备用电源装置。本期项目结合各监控点位勘察实际情况，考虑投资、工程实施难度等因素，选择分散式供电方案。各摄像机终端在就近的公共供电网取一路220V市电，市电引电端经加装自动重合闸开关（含SPD），布线到设备箱使用，保证了引入部分电源线路的漏电及防雷防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集中式供电：适用于前端监控点在一个区域内相对比较集中的情况。从附近的供用电低压台区设搭火点，引到路径最近或施工最便捷的前端监控点，此监控点的电源提供给附近其他监控点以挂葫芦的方式取电。采用集中供电具有电源质量相对稳定，产权分界明晰和易于维护的优点，也是前端感知系统主要采用的供电方式。</w:t>
      </w:r>
    </w:p>
    <w:p>
      <w:pPr>
        <w:ind w:firstLine="560"/>
        <w:rPr>
          <w:color w:val="auto"/>
          <w:highlight w:val="none"/>
        </w:rPr>
      </w:pPr>
      <w:r>
        <w:rPr>
          <w:rFonts w:ascii="Tahoma" w:hAnsi="Tahoma" w:eastAsia="微软雅黑" w:cs="黑体"/>
          <w:color w:val="auto"/>
          <w:sz w:val="22"/>
          <w:szCs w:val="22"/>
          <w:highlight w:val="none"/>
          <w:lang w:val="en-US" w:eastAsia="zh-CN" w:bidi="ar-SA"/>
        </w:rPr>
        <w:pict>
          <v:shape id="图片 4" o:spid="_x0000_s1031" type="#_x0000_t75" style="height:193.75pt;width:356.4pt;rotation:0f;" o:ole="f" fillcolor="#FFFFFF" filled="f" o:preferrelative="t" stroked="f" coordorigin="0,0" coordsize="21600,21600">
            <v:fill on="f" color2="#FFFFFF" focus="0%"/>
            <v:imagedata cropleft="840f" croptop="21651f" cropright="848f" cropbottom="19862f" gain="65536f" blacklevel="0f" gamma="0" o:title="" r:id="rId14"/>
            <o:lock v:ext="edit" position="f" selection="f" grouping="f" rotation="f" cropping="f" text="f" aspectratio="t"/>
            <w10:wrap type="none"/>
            <w10:anchorlock/>
          </v:shape>
        </w:pict>
      </w:r>
    </w:p>
    <w:p>
      <w:pPr>
        <w:widowControl/>
        <w:wordWrap/>
        <w:adjustRightInd w:val="0"/>
        <w:snapToGrid w:val="0"/>
        <w:spacing w:after="0" w:line="36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bookmarkStart w:id="53" w:name="_Toc355941143"/>
      <w:r>
        <w:rPr>
          <w:rFonts w:hint="eastAsia" w:ascii="宋体" w:hAnsi="宋体" w:eastAsia="宋体" w:cs="宋体"/>
          <w:color w:val="auto"/>
          <w:sz w:val="21"/>
          <w:szCs w:val="21"/>
          <w:highlight w:val="none"/>
        </w:rPr>
        <w:t>监控点集中式供电接线图</w:t>
      </w:r>
      <w:bookmarkEnd w:id="53"/>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散式供电：在前端设备的安装位置附近接取电源。适用于较分散的前端监控点供电，以及无法提供集中供电条件的现场安装环境。在这种供电方式下，电源供应的质量较差，维护比较困难，在无法集中供电的情况下可采取此供电方式。</w:t>
      </w:r>
    </w:p>
    <w:p>
      <w:pPr>
        <w:ind w:firstLine="560"/>
        <w:rPr>
          <w:color w:val="auto"/>
          <w:highlight w:val="none"/>
        </w:rPr>
      </w:pPr>
      <w:r>
        <w:rPr>
          <w:rFonts w:ascii="Tahoma" w:hAnsi="Tahoma" w:eastAsia="微软雅黑" w:cs="黑体"/>
          <w:color w:val="auto"/>
          <w:sz w:val="22"/>
          <w:szCs w:val="22"/>
          <w:highlight w:val="none"/>
          <w:lang w:val="en-US" w:eastAsia="zh-CN" w:bidi="ar-SA"/>
        </w:rPr>
        <w:pict>
          <v:shape id="图片 5" o:spid="_x0000_s1032" type="#_x0000_t75" style="height:190.7pt;width:314.85pt;rotation:0f;" o:ole="f" fillcolor="#FFFFFF" filled="f" o:preferrelative="t" stroked="f" coordorigin="0,0" coordsize="21600,21600">
            <v:fill on="f" color2="#FFFFFF" focus="0%"/>
            <v:imagedata croptop="19623f" cropbottom="17832f" gain="65536f" blacklevel="0f" gamma="0" o:title="" r:id="rId15"/>
            <o:lock v:ext="edit" position="f" selection="f" grouping="f" rotation="f" cropping="f" text="f" aspectratio="t"/>
            <w10:wrap type="none"/>
            <w10:anchorlock/>
          </v:shape>
        </w:pict>
      </w:r>
    </w:p>
    <w:p>
      <w:pPr>
        <w:widowControl/>
        <w:wordWrap/>
        <w:adjustRightInd w:val="0"/>
        <w:snapToGrid w:val="0"/>
        <w:spacing w:after="0" w:line="36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bookmarkStart w:id="54" w:name="_Toc355941144"/>
      <w:r>
        <w:rPr>
          <w:rFonts w:hint="eastAsia" w:ascii="宋体" w:hAnsi="宋体" w:eastAsia="宋体" w:cs="宋体"/>
          <w:color w:val="auto"/>
          <w:sz w:val="21"/>
          <w:szCs w:val="21"/>
          <w:highlight w:val="none"/>
        </w:rPr>
        <w:t>监控点分散式供电接线图</w:t>
      </w:r>
      <w:bookmarkEnd w:id="54"/>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黑体" w:cs="宋体"/>
          <w:b/>
          <w:bCs/>
          <w:color w:val="auto"/>
          <w:spacing w:val="15"/>
          <w:sz w:val="21"/>
          <w:szCs w:val="21"/>
          <w:highlight w:val="none"/>
          <w:lang w:val="en-US" w:eastAsia="zh-CN" w:bidi="ar-SA"/>
        </w:rPr>
        <w:t>4.2.2.3.</w:t>
      </w:r>
      <w:r>
        <w:rPr>
          <w:rFonts w:hint="eastAsia" w:ascii="宋体" w:hAnsi="宋体" w:eastAsia="宋体" w:cs="宋体"/>
          <w:b/>
          <w:bCs/>
          <w:color w:val="auto"/>
          <w:spacing w:val="15"/>
          <w:sz w:val="21"/>
          <w:szCs w:val="21"/>
          <w:highlight w:val="none"/>
          <w:lang w:val="en-US" w:eastAsia="zh-CN" w:bidi="ar-SA"/>
        </w:rPr>
        <w:t>8前端布线</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根据本工程所提出的要求以及按照一贯严格遵守的工程建设原则、设计思想，并严格遵守以下国家和行业有关部门制定的各项标准和规范：</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商用建筑布线标准（EIA/TIA568B）</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国际布线标准（ISO11801）</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建筑与建群综合布线系统工程设计规范（CECS 72：97）</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建筑与建群综合布线系统工程施工与验收标准（CECS 82：97）</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民用电器建筑设计规范（JGJ/T16-92）</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中国电器装置安装工程施工及验收规范（CBJ232-82）</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监控系统中的影像信号通过线材传输到主机中，线材除了要求信号损耗率小外，还应重视环境对信号的影响，即屏蔽性能应高。而管材用来保护线材，也应根据保护级别不同，选用相应的管材。</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本工程所有视频电缆在布设过程中，须自摄像机直接架设至机房内，中间不得产生任何断点及接头。</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电缆布设过程中应确保所有电缆均在钢管、金属电管或桥架内不能暴露在外，应尽量避开恶劣环境条件或易使管线损伤地段，应避开干扰较大区域。</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布线过程中要标记清楚、明了，易于改线、维护、管理。</w:t>
      </w:r>
    </w:p>
    <w:p>
      <w:pPr>
        <w:keepNext/>
        <w:keepLines/>
        <w:widowControl/>
        <w:numPr>
          <w:numId w:val="0"/>
        </w:numPr>
        <w:tabs>
          <w:tab w:val="left" w:pos="8286"/>
        </w:tabs>
        <w:wordWrap/>
        <w:adjustRightInd w:val="0"/>
        <w:snapToGrid w:val="0"/>
        <w:spacing w:before="0" w:after="0" w:line="360" w:lineRule="auto"/>
        <w:ind w:left="0" w:leftChars="0" w:right="0" w:firstLine="422" w:firstLineChars="200"/>
        <w:jc w:val="left"/>
        <w:textAlignment w:val="auto"/>
        <w:outlineLvl w:val="3"/>
        <w:rPr>
          <w:rFonts w:hint="eastAsia" w:ascii="宋体" w:hAnsi="宋体" w:eastAsia="宋体" w:cs="宋体"/>
          <w:b/>
          <w:bCs/>
          <w:color w:val="auto"/>
          <w:sz w:val="21"/>
          <w:szCs w:val="21"/>
          <w:highlight w:val="none"/>
          <w:lang w:val="en-US" w:eastAsia="zh-CN" w:bidi="ar-SA"/>
        </w:rPr>
      </w:pPr>
      <w:bookmarkStart w:id="55" w:name="_Toc7000711"/>
      <w:r>
        <w:rPr>
          <w:rFonts w:hint="eastAsia" w:ascii="宋体" w:hAnsi="宋体" w:eastAsia="宋体" w:cs="宋体"/>
          <w:b/>
          <w:bCs/>
          <w:color w:val="auto"/>
          <w:sz w:val="21"/>
          <w:szCs w:val="21"/>
          <w:highlight w:val="none"/>
          <w:lang w:val="en-US" w:eastAsia="zh-CN" w:bidi="ar-SA"/>
        </w:rPr>
        <w:t>2.2.2.3主要设备参数</w:t>
      </w:r>
    </w:p>
    <w:p>
      <w:pPr>
        <w:widowControl/>
        <w:numPr>
          <w:ilvl w:val="0"/>
          <w:numId w:val="4"/>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800万像素星光级摄像机 DS-2C3T86FDWDV2-I3S</w:t>
      </w:r>
    </w:p>
    <w:tbl>
      <w:tblPr>
        <w:tblStyle w:val="31"/>
        <w:tblW w:w="92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3"/>
        <w:gridCol w:w="8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blHeader/>
          <w:jc w:val="center"/>
        </w:trPr>
        <w:tc>
          <w:tcPr>
            <w:tcW w:w="783" w:type="dxa"/>
            <w:tcBorders>
              <w:top w:val="single" w:color="auto" w:sz="4" w:space="0"/>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453" w:type="dxa"/>
            <w:tcBorders>
              <w:top w:val="single" w:color="auto" w:sz="4" w:space="0"/>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星光级超低照度：0.005Lux @(F1.2,AGC ON) ,0 Lux with IR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具有800万像素CMOS传感器。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最大分辨率（3840×2160）。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需具有20路取流路数能力，以满足更多用户同时在线访问摄像机视频。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IR红外30-40米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支持H.264、H.265、MJPEG视频编码格式，且具有HighProfile编码能力。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信噪比不小于58dB。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需支持宽动态功能。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支持智能后检索，配合NVR 支持事件的二次检索分析。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摄像机能够在-30~60摄氏度，湿度小于93%环境下稳定工作。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需具有2路报警输入、2路报警输出、1个音频输入、1个音频输出接口。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不低于IP67防尘防水等级。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需具有1个RJ-4510M/100M自适应网络接口。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需支持DC12V供电，且在不小于DC12V±30%范围内变化时可以正常工作。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783"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8453"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设备工作状态时，支持空气放电8kV，接触放电6kV，通讯端口支持6kV峰值电压。</w:t>
            </w:r>
          </w:p>
        </w:tc>
      </w:tr>
      <w:bookmarkEnd w:id="55"/>
    </w:tbl>
    <w:p>
      <w:pPr>
        <w:rPr>
          <w:rFonts w:hint="eastAsia"/>
          <w:color w:val="auto"/>
          <w:highlight w:val="none"/>
          <w:lang w:val="en-US" w:eastAsia="zh-CN"/>
        </w:rPr>
      </w:pPr>
      <w:bookmarkStart w:id="56" w:name="_Toc9930"/>
    </w:p>
    <w:p>
      <w:pPr>
        <w:keepNext/>
        <w:keepLines/>
        <w:widowControl/>
        <w:tabs>
          <w:tab w:val="left" w:pos="8286"/>
        </w:tabs>
        <w:wordWrap/>
        <w:adjustRightInd w:val="0"/>
        <w:snapToGrid w:val="0"/>
        <w:spacing w:before="0" w:after="0" w:line="360" w:lineRule="auto"/>
        <w:ind w:left="0" w:leftChars="0" w:right="0" w:firstLine="0" w:firstLineChars="0"/>
        <w:jc w:val="left"/>
        <w:textAlignment w:val="auto"/>
        <w:outlineLvl w:val="1"/>
        <w:rPr>
          <w:rFonts w:hint="eastAsia" w:ascii="宋体" w:hAnsi="宋体" w:eastAsia="宋体" w:cs="宋体"/>
          <w:b/>
          <w:bCs/>
          <w:color w:val="auto"/>
          <w:sz w:val="28"/>
          <w:szCs w:val="28"/>
          <w:highlight w:val="none"/>
          <w:lang w:val="en-US" w:eastAsia="zh-CN" w:bidi="ar-SA"/>
        </w:rPr>
      </w:pPr>
      <w:r>
        <w:rPr>
          <w:rFonts w:hint="eastAsia" w:ascii="宋体" w:hAnsi="宋体" w:eastAsia="宋体" w:cs="宋体"/>
          <w:b/>
          <w:bCs/>
          <w:color w:val="auto"/>
          <w:sz w:val="28"/>
          <w:szCs w:val="28"/>
          <w:highlight w:val="none"/>
          <w:lang w:val="en-US" w:eastAsia="zh-CN" w:bidi="ar-SA"/>
        </w:rPr>
        <w:t>4.3存储设计</w:t>
      </w:r>
      <w:bookmarkEnd w:id="56"/>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57" w:name="_Toc13200"/>
      <w:r>
        <w:rPr>
          <w:rFonts w:hint="eastAsia" w:ascii="宋体" w:hAnsi="宋体" w:eastAsia="宋体" w:cs="宋体"/>
          <w:b/>
          <w:bCs/>
          <w:color w:val="auto"/>
          <w:sz w:val="21"/>
          <w:szCs w:val="21"/>
          <w:highlight w:val="none"/>
          <w:lang w:val="en-US" w:eastAsia="zh-CN" w:bidi="ar-SA"/>
        </w:rPr>
        <w:t>4.3.1架构优势</w:t>
      </w:r>
      <w:bookmarkEnd w:id="57"/>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宋体" w:cs="宋体"/>
          <w:b/>
          <w:bCs/>
          <w:color w:val="auto"/>
          <w:spacing w:val="15"/>
          <w:sz w:val="21"/>
          <w:szCs w:val="21"/>
          <w:highlight w:val="none"/>
          <w:lang w:val="en-US" w:eastAsia="zh-CN" w:bidi="ar-SA"/>
        </w:rPr>
        <w:t>4.3.1.1关键部件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采用双GE主机接口，冗余电源、散热风扇；甚至可以采用双系统盘并进行Raid保护。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在冗余部件故障的情况下，可以迅速更换，丝毫不影响系统的正常运行，从而，有效保证业务的连续性。</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宋体" w:cs="宋体"/>
          <w:b/>
          <w:bCs/>
          <w:color w:val="auto"/>
          <w:spacing w:val="15"/>
          <w:sz w:val="21"/>
          <w:szCs w:val="21"/>
          <w:highlight w:val="none"/>
          <w:lang w:val="en-US" w:eastAsia="zh-CN" w:bidi="ar-SA"/>
        </w:rPr>
        <w:t>4.3.1.2磁盘碎片避免</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磁盘碎片的分类简单说，分为外部碎片和内部碎片。内部碎片是由于存储数据块的大小无法占满簇空间而生成的，会对磁盘空间造成浪费。如果仅仅简单通过减小簇的大小来降低磁盘空间的损失，将增加整个磁盘簇的数量，就会增加文件查询时间。</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部碎片是因为存储数据块被分散保存到整个磁盘的不同地方，而不是连续地保存在磁盘连续的簇中。这种数据碎片不会在系统中引起任何问题，但文件碎片过多会使系统在读文件的时候来回寻找，引起系统性能下降，甚至缩短硬盘寿命。</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基于如上技术分析，所以，只要我们能够保证视频文件的顺序存储，并且处理好磁盘最小存储单位划分的合理性即可实现在保证磁盘检索性能的基础上避免磁盘碎片的生成。</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云存储节点的系统软件的底层存储模块通过专利的视频流动态块控制技术、视频块连续写入技术和合理空间回收技术相结合，对视频数据存储进行优化，从而，既保证了数据的连续性，又避免了磁盘空洞，从根本上杜绝磁盘碎片的产生，保障读、写、查询、删除业务的高速、高效。既延长了磁盘寿命，又为秒级索引和回放提供了底层技术支撑。</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宋体" w:cs="宋体"/>
          <w:b/>
          <w:bCs/>
          <w:color w:val="auto"/>
          <w:spacing w:val="15"/>
          <w:sz w:val="21"/>
          <w:szCs w:val="21"/>
          <w:highlight w:val="none"/>
          <w:lang w:val="en-US" w:eastAsia="zh-CN" w:bidi="ar-SA"/>
        </w:rPr>
        <w:t>4.3.1.3优化RAID技术</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统Raid技术为结构化数据安全设计，旨在充分保证数据的正确性和完整性的基础上保证业务的连续性，而视频监控系统的视频流媒体为非结构化数据，具备一定的错误容忍性，对业务的连续性要求相对更高。因此，传统Raid技术在视频监控的应用场景下无法提供完美的系统服务。</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基于流媒体的连续数据、循环写入、顺序读写等非结构化数据的特点，采用优化的流媒体Raid存储技术对传统存储读写优化，基于流媒体接入的数量和码流以及Raid组的磁盘数量，根据磁盘吞吐性能自动调整条带深度、IO块大小和并发数量，实现流媒体数据读写性能随Raid组磁盘数量线性增长，极大的增强了整机的读写性能，成功规避了单纯的传统Raid部署难以规避的条带深度与读写性能之间的矛盾，将系统读写性能大幅度提升。</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宋体" w:cs="宋体"/>
          <w:b/>
          <w:bCs/>
          <w:color w:val="auto"/>
          <w:spacing w:val="15"/>
          <w:sz w:val="21"/>
          <w:szCs w:val="21"/>
          <w:highlight w:val="none"/>
          <w:lang w:val="en-US" w:eastAsia="zh-CN" w:bidi="ar-SA"/>
        </w:rPr>
        <w:t>4.3.1.4关键数据保护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支持将系统盘关键数据备份到数据盘中，并产生多份拷贝；在系统盘损坏时通过插入新的系统盘实现系统盘数据的恢复；支持系统重装后软件自动从数据盘中找出最新且完好的数据恢复系统盘数据库、配置文件、及录像索引文件，恢复到故障前状态，极大地保障了数据安全。</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58" w:name="_Toc24812"/>
      <w:r>
        <w:rPr>
          <w:rFonts w:hint="eastAsia" w:ascii="宋体" w:hAnsi="宋体" w:eastAsia="宋体" w:cs="宋体"/>
          <w:b/>
          <w:bCs/>
          <w:color w:val="auto"/>
          <w:sz w:val="21"/>
          <w:szCs w:val="21"/>
          <w:highlight w:val="none"/>
          <w:lang w:val="en-US" w:eastAsia="zh-CN" w:bidi="ar-SA"/>
        </w:rPr>
        <w:t>4.3.2存储需求计算</w:t>
      </w:r>
      <w:bookmarkEnd w:id="58"/>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r>
        <w:rPr>
          <w:rFonts w:hint="eastAsia" w:ascii="宋体" w:hAnsi="宋体" w:eastAsia="宋体" w:cs="宋体"/>
          <w:b/>
          <w:bCs/>
          <w:color w:val="auto"/>
          <w:spacing w:val="15"/>
          <w:sz w:val="21"/>
          <w:szCs w:val="21"/>
          <w:highlight w:val="none"/>
          <w:lang w:val="en-US" w:eastAsia="zh-CN" w:bidi="ar-SA"/>
        </w:rPr>
        <w:t>4.3.2.1高清前端视频监控存储需求</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根据前端摄像机视频码流，则每路摄像机每天将占用存储空间的计算公式为：</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单路存储一天的容量计算=【XM×3600（秒）×24（小时）×1（路数）×1（天数）】/【8×1024】=XXGB</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例如：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单路存储一天的容量计算=【4M×3600（秒）×24（小时）×1（路数）×1（天数）】/【8×1024】=42.2G </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根据以上的计算公式，本期高清视频存储计算如下：133路二类点视频,1080P存储30天，每路带宽按4Mbps计算，录像存储裸容量为：180T；</w:t>
      </w:r>
    </w:p>
    <w:p>
      <w:pPr>
        <w:widowControl/>
        <w:numPr>
          <w:numId w:val="0"/>
        </w:numPr>
        <w:wordWrap/>
        <w:adjustRightInd w:val="0"/>
        <w:snapToGrid w:val="0"/>
        <w:spacing w:after="0" w:line="360" w:lineRule="auto"/>
        <w:ind w:left="0" w:leftChars="0" w:right="0" w:firstLine="482" w:firstLineChars="200"/>
        <w:jc w:val="left"/>
        <w:textAlignment w:val="auto"/>
        <w:outlineLvl w:val="4"/>
        <w:rPr>
          <w:rFonts w:hint="eastAsia" w:ascii="宋体" w:hAnsi="宋体" w:eastAsia="宋体" w:cs="宋体"/>
          <w:b/>
          <w:bCs/>
          <w:color w:val="auto"/>
          <w:spacing w:val="15"/>
          <w:sz w:val="21"/>
          <w:szCs w:val="21"/>
          <w:highlight w:val="none"/>
          <w:lang w:val="en-US" w:eastAsia="zh-CN" w:bidi="ar-SA"/>
        </w:rPr>
      </w:pPr>
      <w:bookmarkStart w:id="59" w:name="_Toc15125"/>
      <w:r>
        <w:rPr>
          <w:rFonts w:hint="eastAsia" w:ascii="宋体" w:hAnsi="宋体" w:eastAsia="宋体" w:cs="宋体"/>
          <w:b/>
          <w:bCs/>
          <w:color w:val="auto"/>
          <w:spacing w:val="15"/>
          <w:sz w:val="21"/>
          <w:szCs w:val="21"/>
          <w:highlight w:val="none"/>
          <w:lang w:val="en-US" w:eastAsia="zh-CN" w:bidi="ar-SA"/>
        </w:rPr>
        <w:t>4.3.2.2主要设备参数</w:t>
      </w:r>
      <w:bookmarkEnd w:id="59"/>
    </w:p>
    <w:p>
      <w:pPr>
        <w:widowControl/>
        <w:numPr>
          <w:ilvl w:val="0"/>
          <w:numId w:val="5"/>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硬盘录像机</w:t>
      </w:r>
      <w:r>
        <w:rPr>
          <w:rFonts w:hint="eastAsia" w:ascii="宋体" w:hAnsi="宋体" w:eastAsia="宋体" w:cs="宋体"/>
          <w:color w:val="auto"/>
          <w:sz w:val="21"/>
          <w:szCs w:val="21"/>
          <w:highlight w:val="none"/>
          <w:lang w:val="en-US" w:eastAsia="zh-CN"/>
        </w:rPr>
        <w:t>DS-8664N-I16</w:t>
      </w:r>
    </w:p>
    <w:tbl>
      <w:tblPr>
        <w:tblStyle w:val="31"/>
        <w:tblW w:w="8522"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
        <w:gridCol w:w="7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blHeader/>
        </w:trPr>
        <w:tc>
          <w:tcPr>
            <w:tcW w:w="722" w:type="dxa"/>
            <w:tcBorders>
              <w:top w:val="single" w:color="auto" w:sz="4" w:space="0"/>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00" w:type="dxa"/>
            <w:tcBorders>
              <w:top w:val="single" w:color="auto" w:sz="4" w:space="0"/>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NVR总资源为满负载条件下的最大接入带宽640Mbps、最大存储带宽640Mbps、最大转发带宽640Mbps、最大回放带宽640Mbps。最大接入路数64路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R/4K系列 NVR H.265/16盘位/推荐接入400W或800W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视频输出2路HDMI，1路VGA\HDMI1与VGA1同源，主辅口独立异源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至强解码性能，支持12路1080P解码；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400Mbps超高网络接入带宽，最大支持1200万相机接入；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最大支持16个SATA口，支持满配8T硬盘，录像存储时间进一步延长；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真4K超清输出，双HDMI接口，4K画质；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支持萤石、Ehome以及GB28181协议，实现平台接入；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标准机箱，支持机架安装；3U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16盘位，最大支持8TB硬盘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支持2个HDMI口 +1个VGA高清1080P输出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支持12路1080P解码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13</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最大接入带宽400Mbps，最大支持接入12MP高清IPC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2个千兆网口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自带16进4出报警口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722" w:type="dxa"/>
            <w:tcBorders>
              <w:top w:val="nil"/>
              <w:left w:val="single" w:color="auto" w:sz="4" w:space="0"/>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7800" w:type="dxa"/>
            <w:tcBorders>
              <w:top w:val="nil"/>
              <w:left w:val="nil"/>
              <w:bottom w:val="single" w:color="auto" w:sz="4" w:space="0"/>
              <w:right w:val="single" w:color="auto" w:sz="4" w:space="0"/>
            </w:tcBorders>
            <w:vAlign w:val="center"/>
          </w:tcPr>
          <w:p>
            <w:pPr>
              <w:widowControl/>
              <w:wordWrap/>
              <w:adjustRightInd w:val="0"/>
              <w:snapToGrid w:val="0"/>
              <w:spacing w:after="0" w:line="24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2个USB2.0接口+2个USB3.0接口</w:t>
            </w:r>
          </w:p>
        </w:tc>
      </w:tr>
    </w:tbl>
    <w:p>
      <w:pPr>
        <w:adjustRightInd w:val="0"/>
        <w:snapToGrid w:val="0"/>
        <w:spacing w:before="161" w:after="200"/>
        <w:ind w:left="0" w:leftChars="0" w:firstLine="0" w:firstLineChars="0"/>
        <w:rPr>
          <w:rFonts w:hint="eastAsia" w:ascii="宋体" w:hAnsi="宋体" w:eastAsia="宋体" w:cs="宋体"/>
          <w:color w:val="auto"/>
          <w:sz w:val="24"/>
          <w:szCs w:val="22"/>
          <w:highlight w:val="none"/>
          <w:lang w:val="zh-CN" w:eastAsia="zh-CN" w:bidi="zh-CN"/>
        </w:rPr>
      </w:pP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60" w:name="_Toc30334"/>
      <w:r>
        <w:rPr>
          <w:rFonts w:hint="eastAsia" w:ascii="宋体" w:hAnsi="宋体" w:eastAsia="宋体" w:cs="宋体"/>
          <w:b/>
          <w:bCs/>
          <w:color w:val="auto"/>
          <w:sz w:val="21"/>
          <w:szCs w:val="21"/>
          <w:highlight w:val="none"/>
          <w:lang w:val="en-US" w:eastAsia="zh-CN" w:bidi="ar-SA"/>
        </w:rPr>
        <w:t>4.3.3前端安全设计</w:t>
      </w:r>
      <w:bookmarkEnd w:id="60"/>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在前端设备上具有明确提醒用户能力，首次使用设备应修改密码。定期修改密码，且前端设备的口令必须采用大小写字母和数字组成，口令长度不少于8位，关闭不使用的服务端口。</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移动警务视频接入在终端使用、数据传输、应用服务和跨网传输等方面遵循《移动警务视频安全接入规范》。</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本期二类点采用专线，与互联网隔离，保证数据传输的安全。</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61" w:name="_Toc21192"/>
      <w:r>
        <w:rPr>
          <w:rFonts w:hint="eastAsia" w:ascii="宋体" w:hAnsi="宋体" w:eastAsia="宋体" w:cs="宋体"/>
          <w:b/>
          <w:bCs/>
          <w:color w:val="auto"/>
          <w:sz w:val="21"/>
          <w:szCs w:val="21"/>
          <w:highlight w:val="none"/>
          <w:lang w:val="en-US" w:eastAsia="zh-CN" w:bidi="ar-SA"/>
        </w:rPr>
        <w:t>4.3.4网络安全设计</w:t>
      </w:r>
      <w:bookmarkEnd w:id="61"/>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传输链路安全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视频专网的传输安全要按照公安部视频专网建设规范进行，视频专网的链路必须是专用线路或非公共网络的VPN。</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边界访问控制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视频专网管理平台与其它专用网络之间以及社会面资源监控汇聚平台之间采用明确的访问控制措施，部署高性能的防火墙，达到边界安全隔离和入侵防御要求。</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边界接入安全</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专网与公安信息网之间严格遵循《公安信息通信网边界接入平台安全规范（试行）》、《公安信息通信网边界接入平台安全规范（试行）—视频接入部分》等技术规范，视频数据只能允许单向从视频专网传输至公安信息网，在确保安全的条件下接入和共享。</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62" w:name="_Toc17687"/>
      <w:r>
        <w:rPr>
          <w:rFonts w:hint="eastAsia" w:ascii="宋体" w:hAnsi="宋体" w:eastAsia="宋体" w:cs="宋体"/>
          <w:b/>
          <w:bCs/>
          <w:color w:val="auto"/>
          <w:sz w:val="21"/>
          <w:szCs w:val="21"/>
          <w:highlight w:val="none"/>
          <w:lang w:val="en-US" w:eastAsia="zh-CN" w:bidi="ar-SA"/>
        </w:rPr>
        <w:t>4.3.5应用安全设计</w:t>
      </w:r>
      <w:bookmarkEnd w:id="62"/>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用户身份认证</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对于重要的应用，密码长度不少于6位；对于关键的应用，密码长度不少于8位；对于那些最关键的应用，应该考虑多因子认证。</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访问权限控制</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对全网用户进行视频资源访问的权限控制，对每一个用户应按照最小权限原则进行授权。</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用户权限管理</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视频管理平台提供多级用户管理架构，每级用户具有不同的管理权限，根据所赋予的权限可以进行相应的系统访问和监控操作，以防止非法登录和越权操作。</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平台安全加固</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对于网络应用服务器、数据库管理系统、应用程序和其它库文件需要有人员跟踪这些补丁和最新版本发布的情况，及时更新。</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WEB安全防护</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通过WEB防护设备部署在WEB服务器的前端，通过抗扫描、防注入、防跨站脚本、防后门攻击等安全策略加强平台的安全防护能力，最大限度的杜绝平台被黑客入侵的可能。</w:t>
      </w:r>
    </w:p>
    <w:p>
      <w:pPr>
        <w:keepNext/>
        <w:keepLines/>
        <w:widowControl/>
        <w:wordWrap/>
        <w:adjustRightInd w:val="0"/>
        <w:snapToGrid w:val="0"/>
        <w:spacing w:before="0" w:after="0" w:line="360" w:lineRule="auto"/>
        <w:ind w:left="0" w:leftChars="0" w:right="0"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bookmarkStart w:id="63" w:name="_Toc32282"/>
      <w:r>
        <w:rPr>
          <w:rFonts w:hint="eastAsia" w:ascii="宋体" w:hAnsi="宋体" w:eastAsia="宋体" w:cs="宋体"/>
          <w:b/>
          <w:bCs/>
          <w:color w:val="auto"/>
          <w:sz w:val="21"/>
          <w:szCs w:val="21"/>
          <w:highlight w:val="none"/>
          <w:lang w:val="en-US" w:eastAsia="zh-CN" w:bidi="ar-SA"/>
        </w:rPr>
        <w:t>4.3.6数据安全设计</w:t>
      </w:r>
      <w:bookmarkEnd w:id="63"/>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数据库安全策略</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限制超级管理员用户远程登录数据库，并且建议不要在普通业务应用中使用超级管理员用户。</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在数据库权限配置能力内，根据业务需要，配置其所需的最小权限。一般没有特殊权限需要的账户，仅分配连接和资源访问权限。</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更换数据库默认访问端口，同时通过防火墙配置拒绝来自默认端口的访问。</w:t>
      </w:r>
    </w:p>
    <w:p>
      <w:pPr>
        <w:widowControl/>
        <w:numPr>
          <w:ilvl w:val="0"/>
          <w:numId w:val="6"/>
        </w:numPr>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数据库安全审计</w:t>
      </w:r>
    </w:p>
    <w:p>
      <w:pPr>
        <w:widowControl/>
        <w:wordWrap/>
        <w:adjustRightInd w:val="0"/>
        <w:snapToGrid w:val="0"/>
        <w:spacing w:after="0" w:line="360" w:lineRule="auto"/>
        <w:ind w:left="0" w:leftChars="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使用数据库审计设备对访问数据库的用户行为进行源审计，及时发现危害数据库数据的违规行为、报警、提取违规证据。</w:t>
      </w:r>
    </w:p>
    <w:p>
      <w:pPr>
        <w:wordWrap/>
        <w:snapToGrid w:val="0"/>
        <w:spacing w:after="0" w:line="360" w:lineRule="auto"/>
        <w:ind w:left="0" w:leftChars="0" w:right="0" w:firstLine="422" w:firstLineChars="200"/>
        <w:textAlignment w:val="auto"/>
        <w:rPr>
          <w:rFonts w:hint="eastAsia" w:ascii="宋体" w:hAnsi="宋体" w:eastAsia="宋体" w:cs="Times New Roman"/>
          <w:b/>
          <w:bCs/>
          <w:color w:val="auto"/>
          <w:sz w:val="21"/>
          <w:szCs w:val="21"/>
          <w:highlight w:val="none"/>
        </w:rPr>
      </w:pPr>
    </w:p>
    <w:p>
      <w:pPr>
        <w:keepNext/>
        <w:keepLines/>
        <w:numPr>
          <w:numId w:val="0"/>
        </w:numPr>
        <w:tabs>
          <w:tab w:val="left" w:pos="8286"/>
        </w:tabs>
        <w:adjustRightInd w:val="0"/>
        <w:snapToGrid w:val="0"/>
        <w:spacing w:before="120" w:beforeLines="0" w:beforeAutospacing="0" w:after="120" w:afterLines="0" w:afterAutospacing="0" w:line="360" w:lineRule="auto"/>
        <w:ind w:leftChars="0" w:firstLine="0"/>
        <w:jc w:val="both"/>
        <w:outlineLvl w:val="0"/>
        <w:rPr>
          <w:rFonts w:hint="eastAsia" w:ascii="宋体" w:hAnsi="宋体" w:eastAsia="宋体" w:cs="宋体"/>
          <w:b/>
          <w:bCs/>
          <w:color w:val="auto"/>
          <w:kern w:val="0"/>
          <w:sz w:val="28"/>
          <w:szCs w:val="28"/>
          <w:highlight w:val="none"/>
          <w:lang w:val="zh-CN" w:eastAsia="zh-CN" w:bidi="ar-SA"/>
        </w:rPr>
      </w:pPr>
      <w:bookmarkStart w:id="64" w:name="_Toc45873810"/>
      <w:bookmarkStart w:id="65" w:name="_Toc17755"/>
      <w:r>
        <w:rPr>
          <w:rFonts w:hint="eastAsia" w:ascii="宋体" w:hAnsi="宋体" w:eastAsia="宋体" w:cs="宋体"/>
          <w:b/>
          <w:bCs/>
          <w:color w:val="auto"/>
          <w:kern w:val="0"/>
          <w:sz w:val="28"/>
          <w:szCs w:val="28"/>
          <w:highlight w:val="none"/>
          <w:lang w:val="en-US" w:eastAsia="zh-CN" w:bidi="ar-SA"/>
        </w:rPr>
        <w:t>五、商务条款</w:t>
      </w:r>
    </w:p>
    <w:p>
      <w:pPr>
        <w:keepNext/>
        <w:keepLines/>
        <w:adjustRightInd w:val="0"/>
        <w:snapToGrid w:val="0"/>
        <w:spacing w:before="0" w:after="0" w:line="360" w:lineRule="auto"/>
        <w:outlineLvl w:val="5"/>
        <w:rPr>
          <w:rFonts w:ascii="宋体" w:hAnsi="宋体" w:eastAsia="宋体" w:cs="宋体"/>
          <w:b/>
          <w:color w:val="auto"/>
          <w:sz w:val="28"/>
          <w:szCs w:val="28"/>
          <w:highlight w:val="none"/>
          <w:lang w:val="zh-CN" w:eastAsia="zh-CN" w:bidi="ar-SA"/>
        </w:rPr>
      </w:pPr>
      <w:r>
        <w:rPr>
          <w:rFonts w:hint="eastAsia" w:ascii="宋体" w:hAnsi="宋体" w:eastAsia="宋体" w:cs="宋体"/>
          <w:b/>
          <w:color w:val="auto"/>
          <w:sz w:val="28"/>
          <w:szCs w:val="28"/>
          <w:highlight w:val="none"/>
          <w:lang w:val="en-US" w:eastAsia="zh-CN" w:bidi="ar-SA"/>
        </w:rPr>
        <w:t xml:space="preserve">5.1 </w:t>
      </w:r>
      <w:r>
        <w:rPr>
          <w:rFonts w:hint="eastAsia" w:ascii="宋体" w:hAnsi="宋体" w:eastAsia="宋体" w:cs="宋体"/>
          <w:b/>
          <w:color w:val="auto"/>
          <w:sz w:val="28"/>
          <w:szCs w:val="28"/>
          <w:highlight w:val="none"/>
          <w:lang w:val="zh-CN" w:eastAsia="zh-CN" w:bidi="ar-SA"/>
        </w:rPr>
        <w:t>付款方式</w:t>
      </w:r>
    </w:p>
    <w:p>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cs="宋体"/>
          <w:color w:val="auto"/>
          <w:sz w:val="21"/>
          <w:szCs w:val="21"/>
          <w:highlight w:val="none"/>
        </w:rPr>
        <w:t>合同签订后，采购人按24个月分期支付中标人合同总额的95%，剩余合同总额的5%作为质保金，在质保期结束后支付。</w:t>
      </w:r>
      <w:r>
        <w:rPr>
          <w:rFonts w:hint="eastAsia" w:ascii="宋体" w:hAnsi="宋体" w:eastAsia="宋体"/>
          <w:bCs/>
          <w:color w:val="auto"/>
          <w:sz w:val="21"/>
          <w:szCs w:val="21"/>
          <w:highlight w:val="none"/>
        </w:rPr>
        <w:t>中标人请款时必须用国家税务机关印制的发票给采购人，采购人才能付款，否则视为无效票据。</w:t>
      </w:r>
    </w:p>
    <w:p>
      <w:pPr>
        <w:spacing w:after="0" w:line="360" w:lineRule="auto"/>
        <w:ind w:firstLine="420" w:firstLineChars="200"/>
        <w:rPr>
          <w:rFonts w:ascii="宋体" w:hAnsi="宋体" w:eastAsia="宋体" w:cs="宋体"/>
          <w:color w:val="auto"/>
          <w:sz w:val="21"/>
          <w:szCs w:val="21"/>
          <w:highlight w:val="none"/>
        </w:rPr>
      </w:pPr>
    </w:p>
    <w:p>
      <w:pPr>
        <w:keepNext/>
        <w:keepLines/>
        <w:adjustRightInd w:val="0"/>
        <w:snapToGrid w:val="0"/>
        <w:spacing w:before="0" w:after="0" w:line="360" w:lineRule="auto"/>
        <w:outlineLvl w:val="5"/>
        <w:rPr>
          <w:rFonts w:ascii="宋体" w:hAnsi="宋体" w:eastAsia="宋体" w:cs="宋体"/>
          <w:b/>
          <w:color w:val="auto"/>
          <w:sz w:val="28"/>
          <w:szCs w:val="28"/>
          <w:highlight w:val="none"/>
          <w:lang w:val="en-US" w:eastAsia="zh-CN" w:bidi="ar-SA"/>
        </w:rPr>
      </w:pPr>
      <w:r>
        <w:rPr>
          <w:rFonts w:hint="eastAsia" w:ascii="宋体" w:hAnsi="宋体" w:eastAsia="宋体" w:cs="宋体"/>
          <w:b/>
          <w:color w:val="auto"/>
          <w:sz w:val="28"/>
          <w:szCs w:val="28"/>
          <w:highlight w:val="none"/>
          <w:lang w:val="en-US" w:eastAsia="zh-CN" w:bidi="ar-SA"/>
        </w:rPr>
        <w:t>5.2 售后服务</w:t>
      </w:r>
      <w:bookmarkEnd w:id="64"/>
      <w:bookmarkEnd w:id="65"/>
    </w:p>
    <w:p>
      <w:pPr>
        <w:keepNext/>
        <w:keepLines/>
        <w:spacing w:after="0" w:line="360" w:lineRule="auto"/>
        <w:rPr>
          <w:rFonts w:ascii="宋体" w:hAnsi="宋体" w:eastAsia="宋体" w:cs="宋体"/>
          <w:b/>
          <w:bCs/>
          <w:color w:val="auto"/>
          <w:sz w:val="21"/>
          <w:szCs w:val="18"/>
          <w:highlight w:val="none"/>
        </w:rPr>
      </w:pPr>
      <w:bookmarkStart w:id="66" w:name="_Toc6520674"/>
      <w:bookmarkStart w:id="67" w:name="_Toc45873811"/>
      <w:bookmarkStart w:id="68" w:name="_Toc9806134"/>
      <w:bookmarkStart w:id="69" w:name="_Toc3555468"/>
      <w:bookmarkStart w:id="70" w:name="_Toc3067462"/>
      <w:bookmarkStart w:id="71" w:name="_Toc3067560"/>
      <w:bookmarkStart w:id="72" w:name="_Toc40690114"/>
      <w:bookmarkStart w:id="73" w:name="_Toc20336"/>
      <w:bookmarkStart w:id="74" w:name="_Toc7085491"/>
      <w:r>
        <w:rPr>
          <w:rFonts w:hint="eastAsia" w:ascii="宋体" w:hAnsi="宋体" w:eastAsia="宋体" w:cs="宋体"/>
          <w:b/>
          <w:bCs/>
          <w:color w:val="auto"/>
          <w:sz w:val="21"/>
          <w:szCs w:val="18"/>
          <w:highlight w:val="none"/>
          <w:lang w:val="en-US" w:eastAsia="zh-CN"/>
        </w:rPr>
        <w:t>5</w:t>
      </w:r>
      <w:r>
        <w:rPr>
          <w:rFonts w:hint="eastAsia" w:ascii="宋体" w:hAnsi="宋体" w:eastAsia="宋体" w:cs="宋体"/>
          <w:b/>
          <w:bCs/>
          <w:color w:val="auto"/>
          <w:sz w:val="21"/>
          <w:szCs w:val="18"/>
          <w:highlight w:val="none"/>
        </w:rPr>
        <w:t>.2.1、运维概况</w:t>
      </w:r>
      <w:bookmarkEnd w:id="66"/>
      <w:bookmarkEnd w:id="67"/>
      <w:bookmarkEnd w:id="68"/>
      <w:bookmarkEnd w:id="69"/>
      <w:bookmarkEnd w:id="70"/>
      <w:bookmarkEnd w:id="71"/>
      <w:bookmarkEnd w:id="72"/>
      <w:bookmarkEnd w:id="73"/>
      <w:bookmarkEnd w:id="74"/>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为了保障整个系统能正常运行，项目建设的同时应考虑运维保障体系建设，针对项目建设规模建设相应的运维队伍。</w:t>
      </w:r>
    </w:p>
    <w:p>
      <w:pPr>
        <w:spacing w:after="0" w:line="360" w:lineRule="auto"/>
        <w:ind w:firstLine="420" w:firstLineChars="200"/>
        <w:rPr>
          <w:rFonts w:ascii="宋体" w:hAnsi="宋体" w:eastAsia="宋体" w:cs="宋体"/>
          <w:color w:val="auto"/>
          <w:sz w:val="21"/>
          <w:szCs w:val="21"/>
          <w:highlight w:val="none"/>
        </w:rPr>
      </w:pPr>
    </w:p>
    <w:p>
      <w:pPr>
        <w:keepNext/>
        <w:keepLines/>
        <w:spacing w:after="0" w:line="360" w:lineRule="auto"/>
        <w:rPr>
          <w:rFonts w:ascii="宋体" w:hAnsi="宋体" w:eastAsia="宋体" w:cs="宋体"/>
          <w:b/>
          <w:bCs/>
          <w:color w:val="auto"/>
          <w:sz w:val="21"/>
          <w:szCs w:val="18"/>
          <w:highlight w:val="none"/>
        </w:rPr>
      </w:pPr>
      <w:bookmarkStart w:id="75" w:name="_Toc40690118"/>
      <w:bookmarkStart w:id="76" w:name="_Toc3067565"/>
      <w:bookmarkStart w:id="77" w:name="_Toc3555473"/>
      <w:bookmarkStart w:id="78" w:name="_Toc15646"/>
      <w:bookmarkStart w:id="79" w:name="_Toc45873812"/>
      <w:bookmarkStart w:id="80" w:name="_Toc3067467"/>
      <w:bookmarkStart w:id="81" w:name="_Toc9806138"/>
      <w:bookmarkStart w:id="82" w:name="_Toc7085495"/>
      <w:bookmarkStart w:id="83" w:name="_Toc6520679"/>
      <w:r>
        <w:rPr>
          <w:rFonts w:hint="eastAsia" w:ascii="宋体" w:hAnsi="宋体" w:eastAsia="宋体" w:cs="宋体"/>
          <w:b/>
          <w:bCs/>
          <w:color w:val="auto"/>
          <w:sz w:val="21"/>
          <w:szCs w:val="18"/>
          <w:highlight w:val="none"/>
          <w:lang w:val="en-US" w:eastAsia="zh-CN"/>
        </w:rPr>
        <w:t>5</w:t>
      </w:r>
      <w:r>
        <w:rPr>
          <w:rFonts w:hint="eastAsia" w:ascii="宋体" w:hAnsi="宋体" w:eastAsia="宋体" w:cs="宋体"/>
          <w:b/>
          <w:bCs/>
          <w:color w:val="auto"/>
          <w:sz w:val="21"/>
          <w:szCs w:val="18"/>
          <w:highlight w:val="none"/>
        </w:rPr>
        <w:t>.2.2、</w:t>
      </w:r>
      <w:r>
        <w:rPr>
          <w:rFonts w:hint="eastAsia" w:ascii="宋体" w:hAnsi="宋体" w:eastAsia="宋体" w:cs="宋体"/>
          <w:b/>
          <w:bCs/>
          <w:color w:val="auto"/>
          <w:sz w:val="21"/>
          <w:szCs w:val="18"/>
          <w:highlight w:val="none"/>
          <w:lang w:val="en-US" w:eastAsia="zh-CN"/>
        </w:rPr>
        <w:t>工期、</w:t>
      </w:r>
      <w:r>
        <w:rPr>
          <w:rFonts w:hint="eastAsia" w:ascii="宋体" w:hAnsi="宋体" w:eastAsia="宋体" w:cs="宋体"/>
          <w:b/>
          <w:bCs/>
          <w:color w:val="auto"/>
          <w:sz w:val="21"/>
          <w:szCs w:val="18"/>
          <w:highlight w:val="none"/>
        </w:rPr>
        <w:t>质保</w:t>
      </w:r>
      <w:r>
        <w:rPr>
          <w:rFonts w:hint="eastAsia" w:ascii="宋体" w:hAnsi="宋体" w:eastAsia="宋体" w:cs="宋体"/>
          <w:b/>
          <w:bCs/>
          <w:color w:val="auto"/>
          <w:sz w:val="21"/>
          <w:szCs w:val="18"/>
          <w:highlight w:val="none"/>
          <w:lang w:val="en-US" w:eastAsia="zh-CN"/>
        </w:rPr>
        <w:t>及</w:t>
      </w:r>
      <w:r>
        <w:rPr>
          <w:rFonts w:hint="eastAsia" w:ascii="宋体" w:hAnsi="宋体" w:eastAsia="宋体" w:cs="宋体"/>
          <w:b/>
          <w:bCs/>
          <w:color w:val="auto"/>
          <w:sz w:val="21"/>
          <w:szCs w:val="18"/>
          <w:highlight w:val="none"/>
        </w:rPr>
        <w:t>运维期限</w:t>
      </w:r>
      <w:bookmarkEnd w:id="75"/>
      <w:bookmarkEnd w:id="76"/>
      <w:bookmarkEnd w:id="77"/>
      <w:bookmarkEnd w:id="78"/>
      <w:bookmarkEnd w:id="79"/>
      <w:bookmarkEnd w:id="80"/>
      <w:bookmarkEnd w:id="81"/>
      <w:bookmarkEnd w:id="82"/>
      <w:bookmarkEnd w:id="83"/>
    </w:p>
    <w:p>
      <w:pPr>
        <w:spacing w:after="0" w:line="360" w:lineRule="auto"/>
        <w:ind w:firstLine="420" w:firstLineChars="200"/>
        <w:rPr>
          <w:rFonts w:ascii="宋体" w:hAnsi="宋体" w:eastAsia="宋体" w:cs="宋体"/>
          <w:color w:val="auto"/>
          <w:sz w:val="21"/>
          <w:szCs w:val="21"/>
          <w:highlight w:val="none"/>
        </w:rPr>
      </w:pPr>
      <w:bookmarkStart w:id="84" w:name="_Toc9806141"/>
      <w:bookmarkStart w:id="85" w:name="_Toc7085498"/>
      <w:bookmarkStart w:id="86" w:name="_Toc40690121"/>
      <w:bookmarkStart w:id="87" w:name="_Toc3067470"/>
      <w:bookmarkStart w:id="88" w:name="_Toc6520682"/>
      <w:bookmarkStart w:id="89" w:name="_Toc20158"/>
      <w:bookmarkStart w:id="90" w:name="_Toc3555476"/>
      <w:bookmarkStart w:id="91" w:name="_Toc3067568"/>
      <w:bookmarkStart w:id="92" w:name="_Toc45873813"/>
      <w:r>
        <w:rPr>
          <w:rFonts w:hint="eastAsia" w:ascii="宋体" w:hAnsi="宋体" w:eastAsia="宋体" w:cs="宋体"/>
          <w:color w:val="auto"/>
          <w:sz w:val="21"/>
          <w:szCs w:val="21"/>
          <w:highlight w:val="none"/>
        </w:rPr>
        <w:t>本项目自合同签订之日起60天内完成项目交付，服务期为一年。</w:t>
      </w:r>
    </w:p>
    <w:p>
      <w:pPr>
        <w:spacing w:after="0" w:line="360" w:lineRule="auto"/>
        <w:ind w:firstLine="420" w:firstLineChars="200"/>
        <w:rPr>
          <w:rFonts w:ascii="宋体" w:hAnsi="宋体" w:eastAsia="宋体" w:cs="宋体"/>
          <w:color w:val="auto"/>
          <w:sz w:val="21"/>
          <w:szCs w:val="21"/>
          <w:highlight w:val="none"/>
        </w:rPr>
      </w:pPr>
    </w:p>
    <w:p>
      <w:pPr>
        <w:keepNext/>
        <w:keepLines/>
        <w:spacing w:after="0" w:line="360" w:lineRule="auto"/>
        <w:rPr>
          <w:rFonts w:ascii="宋体" w:hAnsi="宋体" w:eastAsia="宋体" w:cs="宋体"/>
          <w:b/>
          <w:bCs/>
          <w:color w:val="auto"/>
          <w:sz w:val="21"/>
          <w:szCs w:val="18"/>
          <w:highlight w:val="none"/>
        </w:rPr>
      </w:pPr>
      <w:r>
        <w:rPr>
          <w:rFonts w:hint="eastAsia" w:ascii="宋体" w:hAnsi="宋体" w:eastAsia="宋体" w:cs="宋体"/>
          <w:b/>
          <w:bCs/>
          <w:color w:val="auto"/>
          <w:sz w:val="21"/>
          <w:szCs w:val="18"/>
          <w:highlight w:val="none"/>
          <w:lang w:val="en-US" w:eastAsia="zh-CN"/>
        </w:rPr>
        <w:t>5</w:t>
      </w:r>
      <w:r>
        <w:rPr>
          <w:rFonts w:hint="eastAsia" w:ascii="宋体" w:hAnsi="宋体" w:eastAsia="宋体" w:cs="宋体"/>
          <w:b/>
          <w:bCs/>
          <w:color w:val="auto"/>
          <w:sz w:val="21"/>
          <w:szCs w:val="18"/>
          <w:highlight w:val="none"/>
        </w:rPr>
        <w:t>.2.3运维</w:t>
      </w:r>
      <w:bookmarkEnd w:id="84"/>
      <w:bookmarkEnd w:id="85"/>
      <w:bookmarkEnd w:id="86"/>
      <w:bookmarkEnd w:id="87"/>
      <w:bookmarkEnd w:id="88"/>
      <w:bookmarkEnd w:id="89"/>
      <w:bookmarkEnd w:id="90"/>
      <w:bookmarkEnd w:id="91"/>
      <w:r>
        <w:rPr>
          <w:rFonts w:hint="eastAsia" w:ascii="宋体" w:hAnsi="宋体" w:eastAsia="宋体" w:cs="宋体"/>
          <w:b/>
          <w:bCs/>
          <w:color w:val="auto"/>
          <w:sz w:val="21"/>
          <w:szCs w:val="18"/>
          <w:highlight w:val="none"/>
        </w:rPr>
        <w:t>要求</w:t>
      </w:r>
      <w:bookmarkEnd w:id="92"/>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服务时间应为365天*24小时服务响应。</w:t>
      </w:r>
    </w:p>
    <w:p>
      <w:pPr>
        <w:spacing w:after="0" w:line="360" w:lineRule="auto"/>
        <w:ind w:firstLine="422" w:firstLineChars="200"/>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日常报修</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常报修响应：项目应采取专人定点服务制度，日常报修接报后2小时内响应，维保服务期间如有设备、线路损坏，在有备件时更换备件解决。（如因水、火、雷电灾害等特殊原因造成不能及时解决的，则以书面形式说明情况及处理方案）。</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法定节假日期间（元旦、五一、国庆、春节等长假），应实行区域值班制度，以保证在节假日期间，能够报修接报有响应，突发事件能处理。</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对现场技术人员无法独立解决的故障，将应指派技术支持人员进行应急支援，并调动必需的物资、设备，支援工作。</w:t>
      </w:r>
    </w:p>
    <w:p>
      <w:pPr>
        <w:spacing w:after="0" w:line="360" w:lineRule="auto"/>
        <w:ind w:firstLine="422" w:firstLineChars="200"/>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紧急报修</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紧急报修接报后，1小时时间内响应。如有设备损坏，应采用备件立即更换备件解决。</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提供以下服务项目：设备维修、保养，提供维修零用配件、定期检查系统设备是否正常运行、是否存在安全隐患等等。</w:t>
      </w:r>
    </w:p>
    <w:p>
      <w:pPr>
        <w:adjustRightInd w:val="0"/>
        <w:snapToGrid w:val="0"/>
        <w:spacing w:before="161" w:after="200"/>
        <w:ind w:left="120"/>
        <w:rPr>
          <w:rFonts w:hint="eastAsia" w:ascii="宋体" w:hAnsi="宋体" w:eastAsia="宋体" w:cs="宋体"/>
          <w:color w:val="auto"/>
          <w:sz w:val="24"/>
          <w:szCs w:val="22"/>
          <w:highlight w:val="none"/>
          <w:lang w:val="zh-CN" w:eastAsia="zh-CN" w:bidi="zh-CN"/>
        </w:rPr>
      </w:pPr>
    </w:p>
    <w:p>
      <w:pPr>
        <w:spacing w:after="0" w:line="360" w:lineRule="auto"/>
        <w:ind w:firstLine="422" w:firstLineChars="200"/>
        <w:rPr>
          <w:rFonts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注：不满足招标文件中 “★”条款的投标文件将作无效投标处理。</w:t>
      </w:r>
      <w:bookmarkEnd w:id="5"/>
      <w:bookmarkEnd w:id="6"/>
      <w:bookmarkEnd w:id="7"/>
      <w:bookmarkEnd w:id="8"/>
    </w:p>
    <w:p>
      <w:pPr>
        <w:pStyle w:val="3"/>
        <w:spacing w:before="0" w:after="0" w:line="240" w:lineRule="auto"/>
        <w:rPr>
          <w:color w:val="auto"/>
          <w:sz w:val="24"/>
          <w:szCs w:val="24"/>
          <w:highlight w:val="none"/>
        </w:rPr>
      </w:pPr>
      <w:r>
        <w:rPr>
          <w:rFonts w:hint="eastAsia"/>
          <w:color w:val="auto"/>
          <w:sz w:val="24"/>
          <w:szCs w:val="24"/>
          <w:highlight w:val="none"/>
        </w:rPr>
        <w:br w:type="page"/>
      </w:r>
      <w:bookmarkStart w:id="93" w:name="_Toc25260"/>
      <w:r>
        <w:rPr>
          <w:rFonts w:hint="eastAsia"/>
          <w:color w:val="auto"/>
          <w:sz w:val="28"/>
          <w:szCs w:val="28"/>
          <w:highlight w:val="none"/>
        </w:rPr>
        <w:t>第四部分 投标人须知</w:t>
      </w:r>
      <w:bookmarkEnd w:id="93"/>
    </w:p>
    <w:p>
      <w:pPr>
        <w:pStyle w:val="4"/>
        <w:numPr>
          <w:ilvl w:val="0"/>
          <w:numId w:val="7"/>
        </w:numPr>
        <w:spacing w:before="0" w:after="0" w:line="480" w:lineRule="auto"/>
        <w:jc w:val="center"/>
        <w:rPr>
          <w:rFonts w:ascii="宋体" w:hAnsi="宋体" w:eastAsia="宋体"/>
          <w:color w:val="auto"/>
          <w:highlight w:val="none"/>
        </w:rPr>
      </w:pPr>
      <w:bookmarkStart w:id="94" w:name="_Toc13325"/>
      <w:r>
        <w:rPr>
          <w:rFonts w:hint="eastAsia" w:ascii="宋体" w:hAnsi="宋体" w:eastAsia="宋体"/>
          <w:color w:val="auto"/>
          <w:highlight w:val="none"/>
        </w:rPr>
        <w:t>说明</w:t>
      </w:r>
      <w:bookmarkEnd w:id="94"/>
    </w:p>
    <w:p>
      <w:pPr>
        <w:pStyle w:val="5"/>
        <w:widowControl w:val="0"/>
        <w:tabs>
          <w:tab w:val="left" w:pos="8286"/>
        </w:tabs>
        <w:overflowPunct w:val="0"/>
        <w:spacing w:before="0" w:after="0" w:line="240" w:lineRule="auto"/>
        <w:rPr>
          <w:rFonts w:ascii="宋体" w:hAnsi="宋体"/>
          <w:color w:val="auto"/>
          <w:sz w:val="21"/>
          <w:szCs w:val="21"/>
          <w:highlight w:val="none"/>
        </w:rPr>
      </w:pPr>
      <w:bookmarkStart w:id="95" w:name="_Toc80603788"/>
      <w:bookmarkStart w:id="96" w:name="_Toc17228"/>
      <w:r>
        <w:rPr>
          <w:rFonts w:hint="eastAsia" w:ascii="宋体" w:hAnsi="宋体"/>
          <w:color w:val="auto"/>
          <w:sz w:val="21"/>
          <w:szCs w:val="21"/>
          <w:highlight w:val="none"/>
        </w:rPr>
        <w:t>1.适用范围</w:t>
      </w:r>
      <w:bookmarkEnd w:id="95"/>
      <w:bookmarkEnd w:id="96"/>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招标范围：见本文件《用户需求书》</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97" w:name="_Toc8986"/>
      <w:bookmarkStart w:id="98" w:name="_Toc80603789"/>
      <w:r>
        <w:rPr>
          <w:rFonts w:hint="eastAsia" w:ascii="宋体" w:hAnsi="宋体"/>
          <w:color w:val="auto"/>
          <w:sz w:val="21"/>
          <w:szCs w:val="21"/>
          <w:highlight w:val="none"/>
        </w:rPr>
        <w:t>2.</w:t>
      </w:r>
      <w:bookmarkStart w:id="99" w:name="_Toc298847174"/>
      <w:bookmarkStart w:id="100" w:name="_Toc303084246"/>
      <w:bookmarkStart w:id="101" w:name="_Toc382049092"/>
      <w:bookmarkStart w:id="102" w:name="_Toc1530"/>
      <w:r>
        <w:rPr>
          <w:rFonts w:hint="eastAsia" w:ascii="宋体" w:hAnsi="宋体"/>
          <w:color w:val="auto"/>
          <w:sz w:val="21"/>
          <w:szCs w:val="21"/>
          <w:highlight w:val="none"/>
        </w:rPr>
        <w:t>定义</w:t>
      </w:r>
      <w:bookmarkEnd w:id="97"/>
      <w:bookmarkEnd w:id="98"/>
      <w:bookmarkEnd w:id="99"/>
      <w:bookmarkEnd w:id="100"/>
      <w:bookmarkEnd w:id="101"/>
      <w:bookmarkEnd w:id="102"/>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是指依法进行政府采购的国家机关、事业单位</w:t>
      </w:r>
      <w:r>
        <w:rPr>
          <w:rFonts w:hint="eastAsia" w:ascii="宋体" w:hAnsi="宋体" w:eastAsia="宋体"/>
          <w:color w:val="auto"/>
          <w:sz w:val="21"/>
          <w:szCs w:val="21"/>
          <w:highlight w:val="none"/>
        </w:rPr>
        <w:t>等</w:t>
      </w:r>
      <w:r>
        <w:rPr>
          <w:rFonts w:ascii="宋体" w:hAnsi="宋体" w:eastAsia="宋体"/>
          <w:color w:val="auto"/>
          <w:sz w:val="21"/>
          <w:szCs w:val="21"/>
          <w:highlight w:val="none"/>
        </w:rPr>
        <w:t>团体组织</w:t>
      </w:r>
      <w:r>
        <w:rPr>
          <w:rFonts w:hint="eastAsia"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投标人：响应招标并且符合招标文件规定资格条件和参加投标竞争的法人、其他组织或者自然人。</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法人：法人是依法在国内进行注册并具有民事权利能力和民事行为能力，依法独立享有民事权利和承担民事义务的组织。</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中标人：指经评标委员会评审推荐、采购人确认的获得本项目中标资格的投标人。</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采购代理机构：三方诚信招标有限公司东莞分公司。</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评标委员会：评标委员会是依据相关规定组建的专门负责本次招标其评标工作的临时性机构。</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合同：指由本次招标所产生的合同或合约文件。</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公章：</w:t>
      </w:r>
      <w:r>
        <w:rPr>
          <w:rFonts w:ascii="宋体" w:hAnsi="宋体" w:eastAsia="宋体"/>
          <w:color w:val="auto"/>
          <w:sz w:val="21"/>
          <w:szCs w:val="21"/>
          <w:highlight w:val="none"/>
        </w:rPr>
        <w:t>公章是</w:t>
      </w:r>
      <w:r>
        <w:rPr>
          <w:rFonts w:ascii="宋体" w:hAnsi="宋体" w:eastAsia="宋体"/>
          <w:iCs/>
          <w:color w:val="auto"/>
          <w:sz w:val="21"/>
          <w:szCs w:val="21"/>
          <w:highlight w:val="none"/>
        </w:rPr>
        <w:t>指</w:t>
      </w:r>
      <w:r>
        <w:rPr>
          <w:rFonts w:hint="eastAsia" w:ascii="宋体" w:hAnsi="宋体" w:eastAsia="宋体"/>
          <w:iCs/>
          <w:color w:val="auto"/>
          <w:sz w:val="21"/>
          <w:szCs w:val="21"/>
          <w:highlight w:val="none"/>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时间</w:t>
      </w:r>
      <w:r>
        <w:rPr>
          <w:rFonts w:hint="eastAsia" w:ascii="宋体" w:hAnsi="宋体" w:eastAsia="宋体"/>
          <w:iCs/>
          <w:color w:val="auto"/>
          <w:sz w:val="21"/>
          <w:szCs w:val="21"/>
          <w:highlight w:val="none"/>
        </w:rPr>
        <w:t>：本文件规定按日计算期间的，开始当天不计入，从次日开始计算。期限的最后一日是国家法定节假日的，顺延到节假日后的次日为期限的最后一日。</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03" w:name="_Toc21507"/>
      <w:bookmarkStart w:id="104" w:name="_Toc80603790"/>
      <w:r>
        <w:rPr>
          <w:rFonts w:hint="eastAsia" w:ascii="宋体" w:hAnsi="宋体"/>
          <w:color w:val="auto"/>
          <w:sz w:val="21"/>
          <w:szCs w:val="21"/>
          <w:highlight w:val="none"/>
        </w:rPr>
        <w:t>3.货物和服务</w:t>
      </w:r>
      <w:bookmarkEnd w:id="103"/>
      <w:bookmarkEnd w:id="104"/>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ascii="宋体" w:hAnsi="宋体" w:eastAsia="宋体"/>
          <w:color w:val="auto"/>
          <w:sz w:val="21"/>
          <w:szCs w:val="21"/>
          <w:highlight w:val="none"/>
        </w:rPr>
        <w:t>是指各种形态和种类的物品，包括原材料、燃料、设备、产品等</w:t>
      </w:r>
      <w:r>
        <w:rPr>
          <w:rFonts w:hint="eastAsia"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除货物和工程以外的其他采购对象</w:t>
      </w:r>
      <w:r>
        <w:rPr>
          <w:rFonts w:hint="eastAsia" w:ascii="宋体" w:hAnsi="宋体" w:eastAsia="宋体"/>
          <w:color w:val="auto"/>
          <w:sz w:val="21"/>
          <w:szCs w:val="21"/>
          <w:highlight w:val="none"/>
        </w:rPr>
        <w:t>。</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05" w:name="_Toc80603791"/>
      <w:bookmarkStart w:id="106" w:name="_Toc9596"/>
      <w:r>
        <w:rPr>
          <w:rFonts w:hint="eastAsia" w:ascii="宋体" w:hAnsi="宋体"/>
          <w:color w:val="auto"/>
          <w:sz w:val="21"/>
          <w:szCs w:val="21"/>
          <w:highlight w:val="none"/>
        </w:rPr>
        <w:t>4.投标费用</w:t>
      </w:r>
      <w:bookmarkEnd w:id="105"/>
      <w:bookmarkEnd w:id="106"/>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07" w:name="_Toc80603792"/>
      <w:bookmarkStart w:id="108" w:name="_Toc17633"/>
      <w:r>
        <w:rPr>
          <w:rFonts w:hint="eastAsia" w:ascii="宋体" w:hAnsi="宋体"/>
          <w:color w:val="auto"/>
          <w:sz w:val="21"/>
          <w:szCs w:val="21"/>
          <w:highlight w:val="none"/>
        </w:rPr>
        <w:t>5.知识产权</w:t>
      </w:r>
      <w:bookmarkEnd w:id="107"/>
      <w:bookmarkEnd w:id="108"/>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采购人享有本项目实施过程中产生的知识成果及知识产权。</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采购货物为</w:t>
      </w:r>
      <w:r>
        <w:rPr>
          <w:rFonts w:ascii="宋体" w:hAnsi="宋体" w:eastAsia="宋体"/>
          <w:color w:val="auto"/>
          <w:sz w:val="21"/>
          <w:szCs w:val="21"/>
          <w:highlight w:val="none"/>
        </w:rPr>
        <w:t>计算机办公设备时，</w:t>
      </w:r>
      <w:r>
        <w:rPr>
          <w:rFonts w:hint="eastAsia" w:ascii="宋体" w:hAnsi="宋体" w:eastAsia="宋体"/>
          <w:color w:val="auto"/>
          <w:sz w:val="21"/>
          <w:szCs w:val="21"/>
          <w:highlight w:val="none"/>
        </w:rPr>
        <w:t>投标人提供的产品必须是</w:t>
      </w:r>
      <w:r>
        <w:rPr>
          <w:rFonts w:ascii="宋体" w:hAnsi="宋体" w:eastAsia="宋体"/>
          <w:color w:val="auto"/>
          <w:sz w:val="21"/>
          <w:szCs w:val="21"/>
          <w:highlight w:val="none"/>
        </w:rPr>
        <w:t>预装正版操作系统软件的计算机产品</w:t>
      </w:r>
      <w:r>
        <w:rPr>
          <w:rFonts w:hint="eastAsia"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09" w:name="_Toc80603793"/>
      <w:bookmarkStart w:id="110" w:name="_Toc10738"/>
      <w:r>
        <w:rPr>
          <w:rFonts w:hint="eastAsia" w:ascii="宋体" w:hAnsi="宋体"/>
          <w:color w:val="auto"/>
          <w:sz w:val="21"/>
          <w:szCs w:val="21"/>
          <w:highlight w:val="none"/>
        </w:rPr>
        <w:t>6.关于联合体投标</w:t>
      </w:r>
      <w:bookmarkEnd w:id="109"/>
      <w:bookmarkEnd w:id="110"/>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对接受联合体投标的项目：两个以上的自然人、法人或者其他组织可以组成一个联合体，以一个投标人的身份共同参加政府采购。</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以联合体形式参与项目的投标人在领购招标文件时，应提供所有联合体组成成员的营业执照复印件，并加盖各联合体组成成员的公章。</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联合体各方均应当符合《政府采购法》第二十二条规定的条件。</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采购人根据采购项目的特殊要求规定投标人特定条件的，联合体各方中至少应当有一方符合采购人规定的特定条件。</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联合体各方之间应当签订共同投标协议并</w:t>
      </w:r>
      <w:r>
        <w:rPr>
          <w:rFonts w:ascii="宋体" w:hAnsi="宋体" w:eastAsia="宋体"/>
          <w:color w:val="auto"/>
          <w:sz w:val="21"/>
          <w:szCs w:val="21"/>
          <w:highlight w:val="none"/>
        </w:rPr>
        <w:t>在投标文件内提交</w:t>
      </w:r>
      <w:r>
        <w:rPr>
          <w:rFonts w:hint="eastAsia" w:ascii="宋体" w:hAnsi="宋体" w:eastAsia="宋体"/>
          <w:color w:val="auto"/>
          <w:sz w:val="21"/>
          <w:szCs w:val="21"/>
          <w:highlight w:val="none"/>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投标人为联合体的，可以由联合体中的任意一方交纳保证金，其交纳的保证金对联合体各方均具有约束力。</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联合体中有同类资质的投标人按照联合体分工承担相同工作的，应当按照资质等级较低的投标人确定资质等级。</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以联合体形式参加政府采购活动，联合体各方均为中小企业的，联合体视同中小企业。其中，联合体各方均为小微企业的，联合体视同小微企业。双方均应提供《中小企业声明函》。</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除联合体协议明确授权盖章单位外，联合体投标时投标文件中所有要求盖章的地方均须加盖联合体所有组成成员的公章，否则该处盖章无效。</w:t>
      </w:r>
    </w:p>
    <w:p>
      <w:pPr>
        <w:widowControl w:val="0"/>
        <w:numPr>
          <w:ilvl w:val="1"/>
          <w:numId w:val="8"/>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11" w:name="_Toc29934"/>
      <w:bookmarkStart w:id="112" w:name="_Toc80603794"/>
      <w:r>
        <w:rPr>
          <w:rFonts w:hint="eastAsia" w:ascii="宋体" w:hAnsi="宋体"/>
          <w:color w:val="auto"/>
          <w:sz w:val="21"/>
          <w:szCs w:val="21"/>
          <w:highlight w:val="none"/>
        </w:rPr>
        <w:t>7.关于分支机构投标</w:t>
      </w:r>
      <w:bookmarkEnd w:id="111"/>
      <w:bookmarkEnd w:id="112"/>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bookmarkStart w:id="113" w:name="EB389f116341dd4693875bc7987e7327f3"/>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对可接受</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投标的项目，</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113"/>
    </w:p>
    <w:p>
      <w:pPr>
        <w:pStyle w:val="4"/>
        <w:numPr>
          <w:ilvl w:val="0"/>
          <w:numId w:val="7"/>
        </w:numPr>
        <w:spacing w:before="0" w:after="0" w:line="480" w:lineRule="auto"/>
        <w:jc w:val="center"/>
        <w:rPr>
          <w:rFonts w:ascii="宋体" w:hAnsi="宋体" w:eastAsia="宋体"/>
          <w:color w:val="auto"/>
          <w:highlight w:val="none"/>
        </w:rPr>
      </w:pPr>
      <w:bookmarkStart w:id="114" w:name="_Toc6558"/>
      <w:r>
        <w:rPr>
          <w:rFonts w:hint="eastAsia" w:ascii="宋体" w:hAnsi="宋体" w:eastAsia="宋体"/>
          <w:color w:val="auto"/>
          <w:highlight w:val="none"/>
        </w:rPr>
        <w:t>招标文件</w:t>
      </w:r>
      <w:bookmarkEnd w:id="114"/>
    </w:p>
    <w:p>
      <w:pPr>
        <w:pStyle w:val="5"/>
        <w:widowControl w:val="0"/>
        <w:tabs>
          <w:tab w:val="left" w:pos="8286"/>
        </w:tabs>
        <w:overflowPunct w:val="0"/>
        <w:spacing w:before="0" w:after="0" w:line="240" w:lineRule="auto"/>
        <w:rPr>
          <w:rFonts w:ascii="宋体" w:hAnsi="宋体"/>
          <w:color w:val="auto"/>
          <w:sz w:val="21"/>
          <w:szCs w:val="21"/>
          <w:highlight w:val="none"/>
        </w:rPr>
      </w:pPr>
      <w:bookmarkStart w:id="115" w:name="_Toc80603796"/>
      <w:bookmarkStart w:id="116" w:name="_Toc32280"/>
      <w:r>
        <w:rPr>
          <w:rFonts w:hint="eastAsia" w:ascii="宋体" w:hAnsi="宋体"/>
          <w:color w:val="auto"/>
          <w:sz w:val="21"/>
          <w:szCs w:val="21"/>
          <w:highlight w:val="none"/>
        </w:rPr>
        <w:t>8.招标文件的组成</w:t>
      </w:r>
      <w:bookmarkEnd w:id="115"/>
      <w:bookmarkEnd w:id="116"/>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招标文件包括：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（1）投标邀请书；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（2）投标资料表；</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（3）用户需求书；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（4）投标人须知；</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（5）拟签订的合同文本；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（6）投标文件格式；</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（7）在招标过程中由采购代理机构发出的澄清更正文件等。</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17" w:name="_Toc80603797"/>
      <w:bookmarkStart w:id="118" w:name="_Toc28349"/>
      <w:r>
        <w:rPr>
          <w:rFonts w:hint="eastAsia" w:ascii="宋体" w:hAnsi="宋体"/>
          <w:color w:val="auto"/>
          <w:sz w:val="21"/>
          <w:szCs w:val="21"/>
          <w:highlight w:val="none"/>
        </w:rPr>
        <w:t>9.招标文件的澄清或修改</w:t>
      </w:r>
      <w:bookmarkEnd w:id="117"/>
      <w:bookmarkEnd w:id="118"/>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auto"/>
          <w:sz w:val="21"/>
          <w:szCs w:val="21"/>
          <w:highlight w:val="none"/>
        </w:rPr>
        <w:t>具有约束作用</w:t>
      </w:r>
      <w:r>
        <w:rPr>
          <w:rFonts w:hint="eastAsia" w:ascii="宋体" w:hAnsi="宋体" w:eastAsia="宋体"/>
          <w:color w:val="auto"/>
          <w:sz w:val="21"/>
          <w:szCs w:val="21"/>
          <w:highlight w:val="none"/>
        </w:rPr>
        <w:t>。</w:t>
      </w:r>
      <w:r>
        <w:rPr>
          <w:rFonts w:ascii="宋体" w:hAnsi="宋体" w:eastAsia="宋体"/>
          <w:color w:val="auto"/>
          <w:sz w:val="21"/>
          <w:szCs w:val="21"/>
          <w:highlight w:val="none"/>
        </w:rPr>
        <w:t>当招标文件、招标文件的澄清</w:t>
      </w:r>
      <w:r>
        <w:rPr>
          <w:rFonts w:hint="eastAsia" w:ascii="宋体" w:hAnsi="宋体" w:eastAsia="宋体"/>
          <w:color w:val="auto"/>
          <w:sz w:val="21"/>
          <w:szCs w:val="21"/>
          <w:highlight w:val="none"/>
        </w:rPr>
        <w:t>或</w:t>
      </w:r>
      <w:r>
        <w:rPr>
          <w:rFonts w:ascii="宋体" w:hAnsi="宋体" w:eastAsia="宋体"/>
          <w:color w:val="auto"/>
          <w:sz w:val="21"/>
          <w:szCs w:val="21"/>
          <w:highlight w:val="none"/>
        </w:rPr>
        <w:t>修改等在同一内容的表述上不一致时，以最后发出的书面文件</w:t>
      </w:r>
      <w:r>
        <w:rPr>
          <w:rFonts w:hint="eastAsia" w:ascii="宋体" w:hAnsi="宋体" w:eastAsia="宋体"/>
          <w:color w:val="auto"/>
          <w:sz w:val="21"/>
          <w:szCs w:val="21"/>
          <w:highlight w:val="none"/>
        </w:rPr>
        <w:t>及公告</w:t>
      </w:r>
      <w:r>
        <w:rPr>
          <w:rFonts w:ascii="宋体" w:hAnsi="宋体" w:eastAsia="宋体"/>
          <w:color w:val="auto"/>
          <w:sz w:val="21"/>
          <w:szCs w:val="21"/>
          <w:highlight w:val="none"/>
        </w:rPr>
        <w:t>为准。</w:t>
      </w:r>
    </w:p>
    <w:p>
      <w:pPr>
        <w:widowControl w:val="0"/>
        <w:numPr>
          <w:ilvl w:val="1"/>
          <w:numId w:val="8"/>
        </w:numPr>
        <w:adjustRightInd/>
        <w:snapToGrid/>
        <w:spacing w:after="0" w:line="360" w:lineRule="exact"/>
        <w:jc w:val="both"/>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4"/>
        <w:numPr>
          <w:ilvl w:val="0"/>
          <w:numId w:val="7"/>
        </w:numPr>
        <w:spacing w:before="0" w:after="0" w:line="480" w:lineRule="auto"/>
        <w:jc w:val="center"/>
        <w:rPr>
          <w:rFonts w:ascii="宋体" w:hAnsi="宋体" w:eastAsia="宋体"/>
          <w:color w:val="auto"/>
          <w:highlight w:val="none"/>
        </w:rPr>
      </w:pPr>
      <w:bookmarkStart w:id="119" w:name="_Toc16773"/>
      <w:r>
        <w:rPr>
          <w:rFonts w:hint="eastAsia" w:ascii="宋体" w:hAnsi="宋体" w:eastAsia="宋体"/>
          <w:color w:val="auto"/>
          <w:highlight w:val="none"/>
        </w:rPr>
        <w:t>投标文件的编制</w:t>
      </w:r>
      <w:bookmarkEnd w:id="119"/>
    </w:p>
    <w:p>
      <w:pPr>
        <w:pStyle w:val="5"/>
        <w:widowControl w:val="0"/>
        <w:tabs>
          <w:tab w:val="left" w:pos="8286"/>
        </w:tabs>
        <w:overflowPunct w:val="0"/>
        <w:spacing w:before="0" w:after="0" w:line="240" w:lineRule="auto"/>
        <w:rPr>
          <w:rFonts w:ascii="宋体" w:hAnsi="宋体"/>
          <w:color w:val="auto"/>
          <w:sz w:val="21"/>
          <w:szCs w:val="21"/>
          <w:highlight w:val="none"/>
        </w:rPr>
      </w:pPr>
      <w:bookmarkStart w:id="120" w:name="_Toc80603799"/>
      <w:bookmarkStart w:id="121" w:name="_Toc7734"/>
      <w:r>
        <w:rPr>
          <w:rFonts w:hint="eastAsia" w:ascii="宋体" w:hAnsi="宋体"/>
          <w:color w:val="auto"/>
          <w:sz w:val="21"/>
          <w:szCs w:val="21"/>
          <w:highlight w:val="none"/>
        </w:rPr>
        <w:t>10.投标文件的语言及度量衡单位</w:t>
      </w:r>
      <w:bookmarkEnd w:id="120"/>
      <w:bookmarkEnd w:id="121"/>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除非招标文件在技术规格中另有规定，投标人在投标文件中及其与采购代理机构和采购人所有往来文件中的所有</w:t>
      </w:r>
      <w:r>
        <w:rPr>
          <w:rFonts w:ascii="宋体" w:hAnsi="宋体" w:eastAsia="宋体"/>
          <w:color w:val="auto"/>
          <w:sz w:val="21"/>
          <w:szCs w:val="21"/>
          <w:highlight w:val="none"/>
        </w:rPr>
        <w:t>计量单位</w:t>
      </w:r>
      <w:r>
        <w:rPr>
          <w:rFonts w:hint="eastAsia" w:ascii="宋体" w:hAnsi="宋体" w:eastAsia="宋体"/>
          <w:color w:val="auto"/>
          <w:sz w:val="21"/>
          <w:szCs w:val="21"/>
          <w:highlight w:val="none"/>
        </w:rPr>
        <w:t>均应采用中华人民共和国法定计量单位</w:t>
      </w:r>
      <w:r>
        <w:rPr>
          <w:rFonts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22" w:name="_Toc32627"/>
      <w:bookmarkStart w:id="123" w:name="_Toc28866"/>
      <w:bookmarkStart w:id="124" w:name="_Toc307934854"/>
      <w:bookmarkStart w:id="125" w:name="_Toc80603800"/>
      <w:bookmarkStart w:id="126" w:name="_Toc303084256"/>
      <w:bookmarkStart w:id="127" w:name="_Toc382049103"/>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122"/>
      <w:bookmarkEnd w:id="123"/>
      <w:bookmarkEnd w:id="124"/>
      <w:bookmarkEnd w:id="125"/>
      <w:bookmarkEnd w:id="126"/>
      <w:bookmarkEnd w:id="127"/>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包括但不限于招标文件附件格式中要求提供的表格。</w:t>
      </w:r>
    </w:p>
    <w:p>
      <w:pPr>
        <w:widowControl w:val="0"/>
        <w:numPr>
          <w:ilvl w:val="1"/>
          <w:numId w:val="8"/>
        </w:numPr>
        <w:adjustRightInd/>
        <w:snapToGrid/>
        <w:spacing w:after="0" w:line="360" w:lineRule="exact"/>
        <w:jc w:val="both"/>
        <w:rPr>
          <w:color w:val="auto"/>
          <w:highlight w:val="none"/>
        </w:rPr>
      </w:pPr>
      <w:r>
        <w:rPr>
          <w:rFonts w:hint="eastAsia" w:ascii="宋体" w:hAnsi="宋体" w:eastAsia="宋体"/>
          <w:color w:val="auto"/>
          <w:sz w:val="21"/>
          <w:szCs w:val="21"/>
          <w:highlight w:val="none"/>
        </w:rPr>
        <w:t>上述文件须按顺序装订成册，并编制投标文件目录。除上述文件资料外投标人还须按投标人须知的要求制作“开标文件”。“开标文件”作为投标文件的一部分，但须单独密封。</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28" w:name="_Toc21118"/>
      <w:bookmarkStart w:id="129" w:name="_Toc80603801"/>
      <w:r>
        <w:rPr>
          <w:rFonts w:hint="eastAsia" w:ascii="宋体" w:hAnsi="宋体"/>
          <w:color w:val="auto"/>
          <w:sz w:val="21"/>
          <w:szCs w:val="21"/>
          <w:highlight w:val="none"/>
        </w:rPr>
        <w:t>12.投标文件编制</w:t>
      </w:r>
      <w:bookmarkEnd w:id="128"/>
      <w:bookmarkEnd w:id="129"/>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bookmarkStart w:id="130" w:name="_Toc303084258"/>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投标人应按招标文件的规定以及附件要求的内容和格式完整地填写</w:t>
      </w:r>
      <w:r>
        <w:rPr>
          <w:rFonts w:ascii="宋体" w:hAnsi="宋体" w:eastAsia="宋体"/>
          <w:color w:val="auto"/>
          <w:sz w:val="21"/>
          <w:szCs w:val="21"/>
          <w:highlight w:val="none"/>
        </w:rPr>
        <w:t>（表格可以按同样格式扩展）</w:t>
      </w:r>
      <w:r>
        <w:rPr>
          <w:rFonts w:hint="eastAsia" w:ascii="宋体" w:hAnsi="宋体" w:eastAsia="宋体"/>
          <w:color w:val="auto"/>
          <w:sz w:val="21"/>
          <w:szCs w:val="21"/>
          <w:highlight w:val="none"/>
        </w:rPr>
        <w:t>和提供资料，投标人必须对投标文件所提供的全部材料的真实性承担法律责任，并无条件接受采购人或采购代理机构对其中任何资料进行核实的要求。</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因投标文件编制存在歧义对投标人产生负面影响的，投标人自行承担后果。</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投标单位名称与投标人公章不一致，若投标单位名称已进行变更，应在投标文件中提供相应的证明材料并加盖公章，否则投标文件无效。</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投标文件密封、标记及内容与本项目采购信息不符，导致无法分辨所投项目为本项目的，投标文件无效。</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投标人须客观撰写投标人简介（格式自理，并提供相关证明）以及所投的产品或服务说明。</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投标文件若出现以下内容，经评标委员会认定有可能间接影响评审秩序，作废标处理。</w:t>
      </w:r>
    </w:p>
    <w:p>
      <w:pPr>
        <w:pStyle w:val="35"/>
        <w:widowControl w:val="0"/>
        <w:numPr>
          <w:ilvl w:val="0"/>
          <w:numId w:val="9"/>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投标文件内出现无官方证明文件的行业地域排名或</w:t>
      </w:r>
      <w:r>
        <w:rPr>
          <w:rFonts w:ascii="宋体" w:hAnsi="宋体" w:eastAsia="宋体"/>
          <w:color w:val="auto"/>
          <w:sz w:val="21"/>
          <w:szCs w:val="21"/>
          <w:highlight w:val="none"/>
        </w:rPr>
        <w:t>使用“国家级”、“最高级”、“最佳”等用语</w:t>
      </w:r>
      <w:r>
        <w:rPr>
          <w:rFonts w:hint="eastAsia" w:ascii="宋体" w:hAnsi="宋体" w:eastAsia="宋体"/>
          <w:color w:val="auto"/>
          <w:sz w:val="21"/>
          <w:szCs w:val="21"/>
          <w:highlight w:val="none"/>
        </w:rPr>
        <w:t>字眼的。</w:t>
      </w:r>
    </w:p>
    <w:p>
      <w:pPr>
        <w:pStyle w:val="35"/>
        <w:widowControl w:val="0"/>
        <w:numPr>
          <w:ilvl w:val="0"/>
          <w:numId w:val="9"/>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投标文件内出现恶意诋毁、</w:t>
      </w:r>
      <w:r>
        <w:rPr>
          <w:rFonts w:ascii="宋体" w:hAnsi="宋体" w:eastAsia="宋体"/>
          <w:color w:val="auto"/>
          <w:sz w:val="21"/>
          <w:szCs w:val="21"/>
          <w:highlight w:val="none"/>
        </w:rPr>
        <w:t>贬低其他生产经营者的商品或者服务</w:t>
      </w:r>
      <w:r>
        <w:rPr>
          <w:rFonts w:hint="eastAsia" w:ascii="宋体" w:hAnsi="宋体" w:eastAsia="宋体"/>
          <w:color w:val="auto"/>
          <w:sz w:val="21"/>
          <w:szCs w:val="21"/>
          <w:highlight w:val="none"/>
        </w:rPr>
        <w:t>的内容。</w:t>
      </w:r>
    </w:p>
    <w:bookmarkEnd w:id="130"/>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31" w:name="_Toc80603802"/>
      <w:bookmarkStart w:id="132" w:name="_Toc7944"/>
      <w:r>
        <w:rPr>
          <w:rFonts w:hint="eastAsia" w:ascii="宋体" w:hAnsi="宋体"/>
          <w:color w:val="auto"/>
          <w:sz w:val="21"/>
          <w:szCs w:val="21"/>
          <w:highlight w:val="none"/>
        </w:rPr>
        <w:t>13.投标报价说明</w:t>
      </w:r>
      <w:bookmarkEnd w:id="131"/>
      <w:bookmarkEnd w:id="132"/>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本次招标，投标人应按用户需求中的要求进行投标报价，少报无效。</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投标人所提供的货物或服务均以人民币（或相关费率）报价。</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投标报价应包含完成本次招标所有服务内容的费用，包含各种税务费及合同实施过程中的全部费用和售后服务费等。</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中标后开出的所有发票必须与中标人的名称一致。</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33" w:name="_Toc80603803"/>
      <w:bookmarkStart w:id="134" w:name="_Toc10906"/>
      <w:r>
        <w:rPr>
          <w:rFonts w:hint="eastAsia" w:ascii="宋体" w:hAnsi="宋体"/>
          <w:color w:val="auto"/>
          <w:sz w:val="21"/>
          <w:szCs w:val="21"/>
          <w:highlight w:val="none"/>
        </w:rPr>
        <w:t>14.投标人所提供的服务或货物的证明文件</w:t>
      </w:r>
      <w:bookmarkEnd w:id="133"/>
      <w:bookmarkEnd w:id="134"/>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bookmarkStart w:id="135" w:name="_Hlt107925668"/>
      <w:bookmarkEnd w:id="135"/>
      <w:bookmarkStart w:id="136" w:name="_Hlt107925638"/>
      <w:bookmarkEnd w:id="136"/>
      <w:r>
        <w:rPr>
          <w:rFonts w:hint="eastAsia" w:ascii="宋体" w:hAnsi="宋体" w:eastAsia="宋体"/>
          <w:color w:val="auto"/>
          <w:sz w:val="21"/>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pPr>
        <w:pStyle w:val="35"/>
        <w:widowControl w:val="0"/>
        <w:adjustRightInd/>
        <w:snapToGrid/>
        <w:spacing w:after="0" w:line="360" w:lineRule="exact"/>
        <w:ind w:left="425" w:firstLine="0" w:firstLineChars="0"/>
        <w:jc w:val="both"/>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37" w:name="_Toc80603804"/>
      <w:bookmarkStart w:id="138" w:name="_Toc11717"/>
      <w:r>
        <w:rPr>
          <w:rFonts w:hint="eastAsia" w:ascii="宋体" w:hAnsi="宋体"/>
          <w:color w:val="auto"/>
          <w:sz w:val="21"/>
          <w:szCs w:val="21"/>
          <w:highlight w:val="none"/>
        </w:rPr>
        <w:t>15.★投标有效期</w:t>
      </w:r>
      <w:bookmarkEnd w:id="137"/>
      <w:bookmarkEnd w:id="138"/>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投标文件应根据投标人须知的规定在投标截止日后的90天内保持有效。</w:t>
      </w:r>
    </w:p>
    <w:p>
      <w:pPr>
        <w:widowControl w:val="0"/>
        <w:adjustRightInd/>
        <w:snapToGrid/>
        <w:spacing w:after="0" w:line="360" w:lineRule="exact"/>
        <w:ind w:left="567"/>
        <w:jc w:val="both"/>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39" w:name="_Toc1615"/>
      <w:bookmarkStart w:id="140" w:name="_Toc80603805"/>
      <w:r>
        <w:rPr>
          <w:rFonts w:hint="eastAsia" w:ascii="宋体" w:hAnsi="宋体"/>
          <w:color w:val="auto"/>
          <w:sz w:val="21"/>
          <w:szCs w:val="21"/>
          <w:highlight w:val="none"/>
        </w:rPr>
        <w:t>16.★投标保证金</w:t>
      </w:r>
      <w:bookmarkEnd w:id="139"/>
      <w:bookmarkEnd w:id="140"/>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bookmarkStart w:id="141" w:name="_Ref179619405"/>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投标人应按投标资料表中规定数额及法律规定的时间按相应包号保证金金额要求一次性提交投标保证金，以多次汇入达到招标文件要求金额的投标保证金无效。</w:t>
      </w:r>
      <w:bookmarkEnd w:id="141"/>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投标保证金金额与招标文件要求金额保持一致（详见投标资料表）。</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投标保证金有效期与投标有效期保持一致。</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采用银行转账、电汇方式提交的,付至采购代理机构指定账户上。 (详见投标人资料表)</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担保。是指由担保机构为投标人交纳投标保证金向采购人或者采购代理机构提供的保证担保。投标人在投标有效期内撤回投标文件或中标后不签订采购合同的，由担保机构按照担保函的约定履行支付投标保证金的责任。</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采用担保函提交的，应符合下列规定：</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①投标担保函有效期应与投标有效期一致；</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②投标担保金额应与本项目的投标保证金一致；</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保证金不接受现金方式（包括以存现方式）提交，未按要求提交投标保证金的将导致废标。</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未中标的投标人的保证金应当在中标通知书发出后5个工作日内退还，中标投标人的保证金应当在采购合同签订后5个工作日内退还。</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为方便退还未中标的投保人的保证金，投标人应制作《投标保证金汇入情况说明》随开标文件一并递交。</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有下列情形之一的，投标保证金将不予退还：</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（1）投标人在提交响应文件截止时间后撤回响应文件的；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（2）投标人在响应文件中提供虚假材料的；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（4）投标人与采购人、其他投标人或者采购代理机构恶意串通的；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（5）招标文件规定的其他情形。</w:t>
      </w:r>
      <w:r>
        <w:rPr>
          <w:rFonts w:ascii="宋体" w:hAnsi="宋体" w:eastAsia="宋体"/>
          <w:color w:val="auto"/>
          <w:sz w:val="21"/>
          <w:szCs w:val="21"/>
          <w:highlight w:val="none"/>
        </w:rPr>
        <w:t xml:space="preserve"> </w:t>
      </w:r>
    </w:p>
    <w:p>
      <w:pPr>
        <w:rPr>
          <w:color w:val="auto"/>
          <w:highlight w:val="none"/>
        </w:rPr>
      </w:pPr>
    </w:p>
    <w:p>
      <w:pPr>
        <w:pStyle w:val="4"/>
        <w:numPr>
          <w:ilvl w:val="0"/>
          <w:numId w:val="7"/>
        </w:numPr>
        <w:spacing w:before="0" w:after="0" w:line="480" w:lineRule="auto"/>
        <w:jc w:val="center"/>
        <w:rPr>
          <w:rFonts w:ascii="宋体" w:hAnsi="宋体" w:eastAsia="宋体"/>
          <w:color w:val="auto"/>
          <w:highlight w:val="none"/>
        </w:rPr>
      </w:pPr>
      <w:bookmarkStart w:id="142" w:name="_Toc7038"/>
      <w:r>
        <w:rPr>
          <w:rFonts w:hint="eastAsia" w:ascii="宋体" w:hAnsi="宋体" w:eastAsia="宋体"/>
          <w:color w:val="auto"/>
          <w:highlight w:val="none"/>
        </w:rPr>
        <w:t>投标文件的递交</w:t>
      </w:r>
      <w:bookmarkEnd w:id="142"/>
    </w:p>
    <w:p>
      <w:pPr>
        <w:pStyle w:val="5"/>
        <w:widowControl w:val="0"/>
        <w:tabs>
          <w:tab w:val="left" w:pos="8286"/>
        </w:tabs>
        <w:overflowPunct w:val="0"/>
        <w:spacing w:before="0" w:after="0" w:line="240" w:lineRule="auto"/>
        <w:rPr>
          <w:rFonts w:ascii="宋体" w:hAnsi="宋体"/>
          <w:color w:val="auto"/>
          <w:sz w:val="21"/>
          <w:szCs w:val="21"/>
          <w:highlight w:val="none"/>
        </w:rPr>
      </w:pPr>
      <w:bookmarkStart w:id="143" w:name="_Toc28865"/>
      <w:bookmarkStart w:id="144" w:name="_Toc382049111"/>
      <w:bookmarkStart w:id="145" w:name="_Toc24997"/>
      <w:bookmarkStart w:id="146" w:name="_Toc303084264"/>
      <w:bookmarkStart w:id="147" w:name="_Toc80603807"/>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143"/>
      <w:bookmarkEnd w:id="144"/>
      <w:bookmarkEnd w:id="145"/>
      <w:bookmarkEnd w:id="146"/>
      <w:bookmarkEnd w:id="147"/>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投标人应当对投标文件进行装订，对未经装订的投标文件可能发生的文件缺</w:t>
      </w:r>
      <w:r>
        <w:rPr>
          <w:rFonts w:hint="eastAsia" w:ascii="宋体" w:hAnsi="宋体" w:eastAsia="宋体"/>
          <w:color w:val="auto"/>
          <w:sz w:val="21"/>
          <w:szCs w:val="21"/>
          <w:highlight w:val="none"/>
        </w:rPr>
        <w:t>损</w:t>
      </w:r>
      <w:r>
        <w:rPr>
          <w:rFonts w:ascii="宋体" w:hAnsi="宋体" w:eastAsia="宋体"/>
          <w:color w:val="auto"/>
          <w:sz w:val="21"/>
          <w:szCs w:val="21"/>
          <w:highlight w:val="none"/>
        </w:rPr>
        <w:t>，由此产生的后果由投标人承担</w:t>
      </w:r>
      <w:r>
        <w:rPr>
          <w:rFonts w:hint="eastAsia" w:ascii="宋体" w:hAnsi="宋体" w:eastAsia="宋体"/>
          <w:color w:val="auto"/>
          <w:sz w:val="21"/>
          <w:szCs w:val="21"/>
          <w:highlight w:val="none"/>
        </w:rPr>
        <w:t>；投标文件未装订成册，投标文件无效</w:t>
      </w:r>
      <w:r>
        <w:rPr>
          <w:rFonts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正本均须用不褪色墨水书写或打印。投标文件的副本可采用投标文件的正本复印件，每套</w:t>
      </w: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应当标</w:t>
      </w:r>
      <w:r>
        <w:rPr>
          <w:rFonts w:ascii="宋体" w:hAnsi="宋体" w:eastAsia="宋体"/>
          <w:color w:val="auto"/>
          <w:sz w:val="21"/>
          <w:szCs w:val="21"/>
          <w:highlight w:val="none"/>
        </w:rPr>
        <w:t>明“正本”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的字样</w:t>
      </w:r>
      <w:r>
        <w:rPr>
          <w:rFonts w:ascii="宋体" w:hAnsi="宋体" w:eastAsia="宋体"/>
          <w:color w:val="auto"/>
          <w:sz w:val="21"/>
          <w:szCs w:val="21"/>
          <w:highlight w:val="none"/>
        </w:rPr>
        <w:t>。</w:t>
      </w:r>
      <w:r>
        <w:rPr>
          <w:rFonts w:hint="eastAsia" w:ascii="宋体" w:hAnsi="宋体" w:eastAsia="宋体"/>
          <w:color w:val="auto"/>
          <w:sz w:val="21"/>
          <w:szCs w:val="21"/>
          <w:highlight w:val="none"/>
        </w:rPr>
        <w:t>投标文件的【正本】及所有【副本】的封面及骑缝均须加盖投标人公章（文件每页盖章等同于盖骑缝章）。若</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与</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不符，以</w:t>
      </w:r>
      <w:r>
        <w:rPr>
          <w:rFonts w:ascii="宋体" w:hAnsi="宋体" w:eastAsia="宋体"/>
          <w:color w:val="auto"/>
          <w:sz w:val="21"/>
          <w:szCs w:val="21"/>
          <w:highlight w:val="none"/>
        </w:rPr>
        <w:t>正本为准。</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联合体投标文件的【正本】及【副本】的封面及骑缝均须加盖所有联合体组成成员的公章。（文件每页盖章等同于盖骑缝章）</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电子文件内容包括：由投标人自行制作的与正本文件一致的所有文件。电子文件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，并注明投标人名称及项目名称、采购项目编号，随投标文件一同密封提交。</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除投标人对错误处修改外，全套投标文件应无涂改或行间插字和增删。如有修改，修改处</w:t>
      </w:r>
      <w:r>
        <w:rPr>
          <w:rFonts w:hint="eastAsia" w:ascii="宋体" w:hAnsi="宋体" w:eastAsia="宋体"/>
          <w:color w:val="auto"/>
          <w:sz w:val="21"/>
          <w:szCs w:val="21"/>
          <w:highlight w:val="none"/>
        </w:rPr>
        <w:t>须由法定代表人或其正式授权代表在旁边签字及盖章</w:t>
      </w:r>
      <w:r>
        <w:rPr>
          <w:rFonts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投标人应将投标文件进行非透明的封装，以防止投标文件内容的泄露。采购代理机构将拒绝接收采用透明包装进行密封的投标文件。</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密封破损导致投标文件内容直接或间接泄露的投标文件，采购代理机构将拒绝接收。</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8"/>
        </w:numPr>
        <w:adjustRightInd/>
        <w:snapToGrid/>
        <w:spacing w:after="0" w:line="360" w:lineRule="exact"/>
        <w:jc w:val="both"/>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未单独提交开标文件的投标人投标文件不进行唱标，投标文件作无效处理。</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所有的信封均应注明： </w:t>
      </w:r>
    </w:p>
    <w:p>
      <w:pPr>
        <w:widowControl w:val="0"/>
        <w:numPr>
          <w:ilvl w:val="0"/>
          <w:numId w:val="10"/>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收件人：三方诚信招标有限公司东莞分公司</w:t>
      </w:r>
    </w:p>
    <w:p>
      <w:pPr>
        <w:widowControl w:val="0"/>
        <w:numPr>
          <w:ilvl w:val="0"/>
          <w:numId w:val="10"/>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w:t>
      </w:r>
    </w:p>
    <w:p>
      <w:pPr>
        <w:widowControl w:val="0"/>
        <w:numPr>
          <w:ilvl w:val="0"/>
          <w:numId w:val="10"/>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pPr>
        <w:widowControl w:val="0"/>
        <w:numPr>
          <w:ilvl w:val="0"/>
          <w:numId w:val="10"/>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项目采购项目编号：</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未进行项目报名的单位（以采购代理机构报名表或报名发票为准）递交的投标文件，采购代理机构将拒绝接收。</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密封信封上的项目编号错误或项目名称出现严重歧义的（包括采购内容不符），采购代理机构将拒绝接收。</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采购代理机构对所有投标文件的误投或提前启封概不负责。</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投标人同时参加几个包投标时必须按招标文件要求按包号分别制作投标文件，分别密封递交。</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传真、电传的投标文件将被拒绝。</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递交的投标文件中所提供的通讯方式应保持联络畅通，因联系不上而导致的所有后果由投标人自行承担。</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48" w:name="_Toc80603808"/>
      <w:bookmarkStart w:id="149" w:name="_Toc7925"/>
      <w:r>
        <w:rPr>
          <w:rFonts w:hint="eastAsia" w:ascii="宋体" w:hAnsi="宋体"/>
          <w:color w:val="auto"/>
          <w:sz w:val="21"/>
          <w:szCs w:val="21"/>
          <w:highlight w:val="none"/>
        </w:rPr>
        <w:t>18.迟交的投标文件</w:t>
      </w:r>
      <w:bookmarkEnd w:id="148"/>
      <w:bookmarkEnd w:id="149"/>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投标人在投标截止时间之后提交的投标文件，采购代理机构将拒绝接收</w:t>
      </w:r>
      <w:r>
        <w:rPr>
          <w:rFonts w:ascii="宋体" w:hAnsi="宋体" w:eastAsia="宋体"/>
          <w:color w:val="auto"/>
          <w:sz w:val="21"/>
          <w:szCs w:val="21"/>
          <w:highlight w:val="none"/>
        </w:rPr>
        <w:t>。</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有违反其他法律规定情形的，采购代理机构将拒绝接收。</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50" w:name="_Toc80603809"/>
      <w:bookmarkStart w:id="151" w:name="_Toc1293"/>
      <w:r>
        <w:rPr>
          <w:rFonts w:hint="eastAsia" w:ascii="宋体" w:hAnsi="宋体"/>
          <w:color w:val="auto"/>
          <w:sz w:val="21"/>
          <w:szCs w:val="21"/>
          <w:highlight w:val="none"/>
        </w:rPr>
        <w:t>19.投标样品（如需提交）</w:t>
      </w:r>
      <w:bookmarkEnd w:id="150"/>
      <w:bookmarkEnd w:id="151"/>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如有必要，采购代理机构可以要求投标人提供本服务项目涉及的部分设备或产品样品，投标人在投标时应提交《样品清单》。</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为方便评标，投标人在提供样品时，应在所提供的样品表面显著位置标注投标人的名称、包号、样品名称、招标文件规定的服务或货物编号。</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52" w:name="_Toc80603810"/>
      <w:bookmarkStart w:id="153" w:name="_Toc382049112"/>
      <w:bookmarkStart w:id="154" w:name="_Toc303084265"/>
      <w:bookmarkStart w:id="155" w:name="_Toc9777"/>
      <w:bookmarkStart w:id="156" w:name="_Toc20635"/>
      <w:r>
        <w:rPr>
          <w:rFonts w:hint="eastAsia" w:ascii="宋体" w:hAnsi="宋体"/>
          <w:color w:val="auto"/>
          <w:sz w:val="21"/>
          <w:szCs w:val="21"/>
          <w:highlight w:val="none"/>
        </w:rPr>
        <w:t>20.投标截止期</w:t>
      </w:r>
      <w:bookmarkEnd w:id="152"/>
      <w:bookmarkEnd w:id="153"/>
      <w:bookmarkEnd w:id="154"/>
      <w:bookmarkEnd w:id="155"/>
      <w:bookmarkEnd w:id="156"/>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投标人应在招标文件规定的截止日期和时间内，将投标文件送达到指定地点。</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可按本须知规定以</w:t>
      </w:r>
      <w:r>
        <w:rPr>
          <w:rFonts w:hint="eastAsia" w:ascii="宋体" w:hAnsi="宋体" w:eastAsia="宋体"/>
          <w:color w:val="auto"/>
          <w:sz w:val="21"/>
          <w:szCs w:val="21"/>
          <w:highlight w:val="none"/>
        </w:rPr>
        <w:t>澄清或</w:t>
      </w:r>
      <w:r>
        <w:rPr>
          <w:rFonts w:ascii="宋体" w:hAnsi="宋体" w:eastAsia="宋体"/>
          <w:color w:val="auto"/>
          <w:sz w:val="21"/>
          <w:szCs w:val="21"/>
          <w:highlight w:val="none"/>
        </w:rPr>
        <w:t>修改通知的方式，酌情延长</w:t>
      </w:r>
      <w:r>
        <w:rPr>
          <w:rFonts w:hint="eastAsia" w:ascii="宋体" w:hAnsi="宋体" w:eastAsia="宋体"/>
          <w:color w:val="auto"/>
          <w:sz w:val="21"/>
          <w:szCs w:val="21"/>
          <w:highlight w:val="none"/>
        </w:rPr>
        <w:t>递</w:t>
      </w:r>
      <w:r>
        <w:rPr>
          <w:rFonts w:ascii="宋体" w:hAnsi="宋体" w:eastAsia="宋体"/>
          <w:color w:val="auto"/>
          <w:sz w:val="21"/>
          <w:szCs w:val="21"/>
          <w:highlight w:val="none"/>
        </w:rPr>
        <w:t>交投标文件的截止时间。在此情况下，投标人的所有权利和义务以及投标人受制约的截止时间，均以延长后新的投标截止时间为准。</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57" w:name="_Toc80603811"/>
      <w:bookmarkStart w:id="158" w:name="_Toc17566"/>
      <w:r>
        <w:rPr>
          <w:rFonts w:hint="eastAsia" w:ascii="宋体" w:hAnsi="宋体"/>
          <w:color w:val="auto"/>
          <w:sz w:val="21"/>
          <w:szCs w:val="21"/>
          <w:highlight w:val="none"/>
        </w:rPr>
        <w:t>21.投标文件的补充、修改与撤回</w:t>
      </w:r>
      <w:bookmarkEnd w:id="157"/>
      <w:bookmarkEnd w:id="158"/>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投标文件一经递交不予退还。</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在提交投标文件截止时间至投标有效期满之前，投标人不得撤回其投标，否则其投标保证金将不予退还。</w:t>
      </w:r>
    </w:p>
    <w:p>
      <w:pPr>
        <w:pStyle w:val="9"/>
        <w:rPr>
          <w:color w:val="auto"/>
          <w:highlight w:val="none"/>
        </w:rPr>
      </w:pPr>
    </w:p>
    <w:p>
      <w:pPr>
        <w:pStyle w:val="4"/>
        <w:numPr>
          <w:ilvl w:val="0"/>
          <w:numId w:val="7"/>
        </w:numPr>
        <w:spacing w:before="0" w:after="0" w:line="480" w:lineRule="auto"/>
        <w:jc w:val="center"/>
        <w:rPr>
          <w:rFonts w:ascii="宋体" w:hAnsi="宋体" w:eastAsia="宋体"/>
          <w:color w:val="auto"/>
          <w:highlight w:val="none"/>
        </w:rPr>
      </w:pPr>
      <w:bookmarkStart w:id="159" w:name="_Toc13311"/>
      <w:r>
        <w:rPr>
          <w:rFonts w:hint="eastAsia" w:ascii="宋体" w:hAnsi="宋体" w:eastAsia="宋体"/>
          <w:color w:val="auto"/>
          <w:highlight w:val="none"/>
        </w:rPr>
        <w:t>开标与评标</w:t>
      </w:r>
      <w:bookmarkEnd w:id="159"/>
    </w:p>
    <w:p>
      <w:pPr>
        <w:pStyle w:val="5"/>
        <w:widowControl w:val="0"/>
        <w:tabs>
          <w:tab w:val="left" w:pos="8286"/>
        </w:tabs>
        <w:overflowPunct w:val="0"/>
        <w:spacing w:before="0" w:after="0" w:line="240" w:lineRule="auto"/>
        <w:rPr>
          <w:rFonts w:ascii="宋体" w:hAnsi="宋体"/>
          <w:color w:val="auto"/>
          <w:sz w:val="21"/>
          <w:szCs w:val="21"/>
          <w:highlight w:val="none"/>
        </w:rPr>
      </w:pPr>
      <w:bookmarkStart w:id="160" w:name="_Toc80603813"/>
      <w:bookmarkStart w:id="161" w:name="_Toc21842"/>
      <w:r>
        <w:rPr>
          <w:rFonts w:hint="eastAsia" w:ascii="宋体" w:hAnsi="宋体"/>
          <w:color w:val="auto"/>
          <w:sz w:val="21"/>
          <w:szCs w:val="21"/>
          <w:highlight w:val="none"/>
        </w:rPr>
        <w:t>22.开标</w:t>
      </w:r>
      <w:bookmarkEnd w:id="160"/>
      <w:bookmarkEnd w:id="161"/>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采购代理机构按</w:t>
      </w:r>
      <w:r>
        <w:rPr>
          <w:rFonts w:ascii="宋体" w:hAnsi="宋体" w:eastAsia="宋体"/>
          <w:color w:val="auto"/>
          <w:sz w:val="21"/>
          <w:szCs w:val="21"/>
          <w:highlight w:val="none"/>
        </w:rPr>
        <w:t>本</w:t>
      </w:r>
      <w:r>
        <w:rPr>
          <w:rFonts w:hint="eastAsia" w:ascii="宋体" w:hAnsi="宋体" w:eastAsia="宋体"/>
          <w:color w:val="auto"/>
          <w:sz w:val="21"/>
          <w:szCs w:val="21"/>
          <w:highlight w:val="none"/>
        </w:rPr>
        <w:t>招标文件</w:t>
      </w:r>
      <w:r>
        <w:rPr>
          <w:rFonts w:ascii="宋体" w:hAnsi="宋体" w:eastAsia="宋体"/>
          <w:color w:val="auto"/>
          <w:sz w:val="21"/>
          <w:szCs w:val="21"/>
          <w:highlight w:val="none"/>
        </w:rPr>
        <w:t>所规定的时间和地点公开开标，并邀请所有投标人</w:t>
      </w:r>
      <w:r>
        <w:rPr>
          <w:rFonts w:hint="eastAsia" w:ascii="宋体" w:hAnsi="宋体" w:eastAsia="宋体"/>
          <w:color w:val="auto"/>
          <w:sz w:val="21"/>
          <w:szCs w:val="21"/>
          <w:highlight w:val="none"/>
        </w:rPr>
        <w:t>代表</w:t>
      </w:r>
      <w:r>
        <w:rPr>
          <w:rFonts w:ascii="宋体" w:hAnsi="宋体" w:eastAsia="宋体"/>
          <w:color w:val="auto"/>
          <w:sz w:val="21"/>
          <w:szCs w:val="21"/>
          <w:highlight w:val="none"/>
        </w:rPr>
        <w:t>参加。</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开标程序：</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w:t>
      </w:r>
      <w:r>
        <w:rPr>
          <w:rFonts w:hint="eastAsia" w:ascii="宋体" w:hAnsi="宋体" w:eastAsia="宋体"/>
          <w:color w:val="auto"/>
          <w:sz w:val="21"/>
          <w:szCs w:val="21"/>
          <w:highlight w:val="none"/>
        </w:rPr>
        <w:t>会</w:t>
      </w:r>
      <w:r>
        <w:rPr>
          <w:rFonts w:ascii="宋体" w:hAnsi="宋体" w:eastAsia="宋体"/>
          <w:color w:val="auto"/>
          <w:sz w:val="21"/>
          <w:szCs w:val="21"/>
          <w:highlight w:val="none"/>
        </w:rPr>
        <w:t>由</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主持</w:t>
      </w:r>
      <w:r>
        <w:rPr>
          <w:rFonts w:hint="eastAsia" w:ascii="宋体" w:hAnsi="宋体" w:eastAsia="宋体"/>
          <w:color w:val="auto"/>
          <w:sz w:val="21"/>
          <w:szCs w:val="21"/>
          <w:highlight w:val="none"/>
        </w:rPr>
        <w:t>，投标人的法定代表人或其授权代表携带有效身份证明准时参加开标会并签名报到。</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投标人未参加开标的，视同认可开标结果。</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合格投标人不足3家的，不得开标；</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62" w:name="_Toc28135"/>
      <w:bookmarkStart w:id="163" w:name="_Toc80603814"/>
      <w:r>
        <w:rPr>
          <w:rFonts w:hint="eastAsia" w:ascii="宋体" w:hAnsi="宋体"/>
          <w:color w:val="auto"/>
          <w:sz w:val="21"/>
          <w:szCs w:val="21"/>
          <w:highlight w:val="none"/>
        </w:rPr>
        <w:t>23.评标委员会及评标方法</w:t>
      </w:r>
      <w:bookmarkEnd w:id="162"/>
      <w:bookmarkEnd w:id="163"/>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评标委员会根据招标项目的特点进行组建，并负责评标工作。</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评审方法：本次招标的评审方法采用综合评分法。</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招标文件中要求投标人提供的相关资质证书证明材料因国家政策变动导致新旧证书名称不一致，旧证书未取消且新旧证书具有同等效力的，投标人提供新证书与提供在有效期内的旧证书给予同等认可。</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定标原则：在最大限度</w:t>
      </w:r>
      <w:r>
        <w:rPr>
          <w:rFonts w:ascii="宋体" w:hAnsi="宋体" w:eastAsia="宋体"/>
          <w:color w:val="auto"/>
          <w:sz w:val="21"/>
          <w:szCs w:val="21"/>
          <w:highlight w:val="none"/>
        </w:rPr>
        <w:t>满足招标文件</w:t>
      </w:r>
      <w:r>
        <w:rPr>
          <w:rFonts w:hint="eastAsia" w:ascii="宋体" w:hAnsi="宋体" w:eastAsia="宋体"/>
          <w:color w:val="auto"/>
          <w:sz w:val="21"/>
          <w:szCs w:val="21"/>
          <w:highlight w:val="none"/>
        </w:rPr>
        <w:t>实质性要求前提下，按照招标文件规定的各项评价因素进行量化打分，以评标总得分最高的投标人作为中标候选人或中标人。</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评标委员会和采购人在评审过程中有权核对投标文件中相关材料的原件，投标人在接到通知后应在评标委员会规定的时间内提交原件核查。</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64" w:name="_Toc80603815"/>
      <w:bookmarkStart w:id="165" w:name="_Toc3500"/>
      <w:r>
        <w:rPr>
          <w:rFonts w:hint="eastAsia" w:ascii="宋体" w:hAnsi="宋体"/>
          <w:color w:val="auto"/>
          <w:sz w:val="21"/>
          <w:szCs w:val="21"/>
          <w:highlight w:val="none"/>
        </w:rPr>
        <w:t>24.评审原则及评标过程的保密</w:t>
      </w:r>
      <w:bookmarkEnd w:id="164"/>
      <w:bookmarkEnd w:id="165"/>
    </w:p>
    <w:p>
      <w:pPr>
        <w:pStyle w:val="35"/>
        <w:widowControl w:val="0"/>
        <w:numPr>
          <w:ilvl w:val="0"/>
          <w:numId w:val="8"/>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评审的基本原则：评标委员会将依据招标文件的规定，遵循“公开、公平、公正、择优、信用”的原则进行评审工作。</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从公开开标到签订合同，凡与审查、澄清、评审和投标有关的资料以及定标意见相关的事项，均不得向投标人及与评标无关的其他人透露。</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任何单位和个人不得非法干预、影响评标的过程和结果。</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66" w:name="_Toc80603816"/>
      <w:bookmarkStart w:id="167" w:name="_Toc5179"/>
      <w:r>
        <w:rPr>
          <w:rFonts w:hint="eastAsia" w:ascii="宋体" w:hAnsi="宋体"/>
          <w:color w:val="auto"/>
          <w:sz w:val="21"/>
          <w:szCs w:val="21"/>
          <w:highlight w:val="none"/>
        </w:rPr>
        <w:t>25.投标文件的初审</w:t>
      </w:r>
      <w:bookmarkEnd w:id="166"/>
      <w:bookmarkEnd w:id="167"/>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招标文件的实质性要求。</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投标文件报价出现前后不一致的，评标委员会按照下列规定修正：</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投标文件中开标一览表（报价表）内容与投标文件中相应内容不一致的，以开标一览表（报价表）为准；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大写金额和小写金额不一致的，以大写金额为准；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单价金额小数点或者百分比有明显错位的，以开标一览表的总价为准，并修改单价；</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总价金额与按单价汇总金额不一致的，以单价金额计算结果为准。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同时出现两种以上不一致的，按照前款规定的顺序修正。修正后的报价按照经投标人确认后产生约束力，投标人不确认的，其投标无效。</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对于投标文件中不构成实质性偏差的不正规、不一致或不规则，评标委员会可以接受，但这种接受不能损害或影响任何投标人的相对排序。</w:t>
      </w:r>
    </w:p>
    <w:p>
      <w:pPr>
        <w:widowControl w:val="0"/>
        <w:numPr>
          <w:ilvl w:val="1"/>
          <w:numId w:val="8"/>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未响应招标文件的实质要求的投标文件作废标处理。投标人不得通过修正或撤消不合要求的偏离或保留从而使其投标成为实质上响应的投标。评标委员会评审中，</w:t>
      </w:r>
      <w:r>
        <w:rPr>
          <w:rFonts w:hint="eastAsia" w:ascii="宋体" w:hAnsi="宋体" w:eastAsia="宋体"/>
          <w:b/>
          <w:color w:val="auto"/>
          <w:sz w:val="21"/>
          <w:szCs w:val="21"/>
          <w:highlight w:val="none"/>
        </w:rPr>
        <w:t>发现下列情况之一的，其投标将作废标处理</w:t>
      </w:r>
      <w:r>
        <w:rPr>
          <w:rFonts w:hint="eastAsia" w:ascii="宋体" w:hAnsi="宋体" w:eastAsia="宋体"/>
          <w:color w:val="auto"/>
          <w:sz w:val="21"/>
          <w:szCs w:val="21"/>
          <w:highlight w:val="none"/>
        </w:rPr>
        <w:t>：</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（一）资格性检查</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1) 资格瑕疵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包括但不限于：①资格证明文件未提供或不符合招标文件要求的；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投标保证金瑕疵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包括但不限于：①投标人未按招标文件要求提交投标保证金；②提交方式、提交时间、提交金额不符合招标文件要求；③投标保证金有效期不符合招标文件要求。</w:t>
      </w:r>
      <w:bookmarkStart w:id="168" w:name="_Ref179621189"/>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（二）符合性检查</w:t>
      </w:r>
      <w:bookmarkEnd w:id="168"/>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的数量、制作不符合要求（包括但不限于投标文件内容与采购内容不符，投标文件项目采购项目编号错误，投标文件项目名称错误导致无法分表所投项目为本项目的，投标文件散落，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技术响应瑕疵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3) 商务响应瑕疵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4）投标报价瑕疵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①投标报价超过本招标文件明确的项目预算或文件明确的最高限价；②投标报价格式与文件要求不符；③开标一览表格式或内容与招标文件要求不符。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5）违规行为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根据项目情况，评标委员会有权决定招标文件中“可能导致废标”或“可能导致其投标被拒绝”等具体条款是否实施“废标”或“投标被拒绝”，但对同一条款的裁决应适用于每个投标人。</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69" w:name="_Toc80603817"/>
      <w:bookmarkStart w:id="170" w:name="_Toc10147"/>
      <w:r>
        <w:rPr>
          <w:rFonts w:hint="eastAsia" w:ascii="宋体" w:hAnsi="宋体"/>
          <w:color w:val="auto"/>
          <w:sz w:val="21"/>
          <w:szCs w:val="21"/>
          <w:highlight w:val="none"/>
        </w:rPr>
        <w:t>26.商务、技术、价格评审（具体评审项目详见投标资料表）</w:t>
      </w:r>
      <w:bookmarkEnd w:id="169"/>
      <w:bookmarkEnd w:id="170"/>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对通过</w:t>
      </w:r>
      <w:r>
        <w:rPr>
          <w:rFonts w:hint="eastAsia" w:ascii="宋体" w:hAnsi="宋体" w:eastAsia="宋体"/>
          <w:color w:val="auto"/>
          <w:sz w:val="21"/>
          <w:szCs w:val="21"/>
          <w:highlight w:val="none"/>
        </w:rPr>
        <w:t>资格性审查和</w:t>
      </w:r>
      <w:r>
        <w:rPr>
          <w:rFonts w:ascii="宋体" w:hAnsi="宋体" w:eastAsia="宋体"/>
          <w:color w:val="auto"/>
          <w:sz w:val="21"/>
          <w:szCs w:val="21"/>
          <w:highlight w:val="none"/>
        </w:rPr>
        <w:t>符合性检查的投标人进行商务技术综合评议，针对投标文件对招标文件的响应情况对各个投标人进行商务和技术评分</w:t>
      </w:r>
      <w:r>
        <w:rPr>
          <w:rFonts w:hint="eastAsia" w:ascii="宋体" w:hAnsi="宋体" w:eastAsia="宋体"/>
          <w:color w:val="auto"/>
          <w:sz w:val="21"/>
          <w:szCs w:val="21"/>
          <w:highlight w:val="none"/>
        </w:rPr>
        <w:t xml:space="preserve">。 </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71" w:name="_Toc11805"/>
      <w:bookmarkStart w:id="172" w:name="_Toc80603818"/>
      <w:r>
        <w:rPr>
          <w:rFonts w:hint="eastAsia" w:ascii="宋体" w:hAnsi="宋体"/>
          <w:color w:val="auto"/>
          <w:sz w:val="21"/>
          <w:szCs w:val="21"/>
          <w:highlight w:val="none"/>
        </w:rPr>
        <w:t>27.优惠政策（本项目不适用）</w:t>
      </w:r>
      <w:bookmarkEnd w:id="171"/>
      <w:bookmarkEnd w:id="172"/>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投标人为小型或微型企业且投标产品含小型或微型企业产品时，其对应产品价格的扣除详见投标资料表。</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在货物采购项目中，投标人提供的货物既有中小企业制造货物，也有大型企业制造货物的，不享受“财政部 工业和信息化部关于印发《政府采购促进中小企业发展管理办法》的通知（财库〔2020〕46号）”规定的中小企业扶持政策。</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投标人同时为小型、微型企业、监狱企业、残疾人福利性单位任两种或以上情况的，评审中只享受一次价格扣除，不重复进行价格扣除。</w:t>
      </w:r>
    </w:p>
    <w:p>
      <w:pPr>
        <w:widowControl w:val="0"/>
        <w:numPr>
          <w:ilvl w:val="1"/>
          <w:numId w:val="8"/>
        </w:numPr>
        <w:tabs>
          <w:tab w:val="left" w:pos="907"/>
        </w:tabs>
        <w:adjustRightInd/>
        <w:snapToGrid/>
        <w:spacing w:after="0" w:line="360" w:lineRule="exact"/>
        <w:jc w:val="both"/>
        <w:rPr>
          <w:rFonts w:ascii="宋体" w:hAnsi="宋体" w:eastAsia="宋体"/>
          <w:b/>
          <w:bCs/>
          <w:color w:val="auto"/>
          <w:sz w:val="21"/>
          <w:szCs w:val="21"/>
          <w:highlight w:val="none"/>
          <w:u w:val="single"/>
        </w:rPr>
      </w:pPr>
      <w:r>
        <w:rPr>
          <w:rFonts w:hint="eastAsia" w:ascii="宋体" w:hAnsi="宋体" w:eastAsia="宋体"/>
          <w:b/>
          <w:bCs/>
          <w:color w:val="auto"/>
          <w:sz w:val="21"/>
          <w:szCs w:val="21"/>
          <w:highlight w:val="none"/>
          <w:u w:val="single"/>
        </w:rPr>
        <w:t>中标、成交投标人享受本办法（财库〔2020〕46号）规定的中小企业扶持政策的，采购代理机构将随中标、成交结果公开中标、成交投标人的《中小企业声明函》。各投标人不得提供虚假声明，提供虚假声明取消中标、成交资格，并追究其法律责任。</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（5）提供本单位制造的货物、承担的工程或者服务（以下简称产品），或者提供其他残疾人福利性单位制造的货物（不包括使用非残疾人福利性单位注册商标的货物）。</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提供节能产品或环境标志产品的投标人其产品应符合以下规定：</w:t>
      </w:r>
    </w:p>
    <w:p>
      <w:pPr>
        <w:widowControl w:val="0"/>
        <w:numPr>
          <w:ilvl w:val="0"/>
          <w:numId w:val="11"/>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11"/>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11"/>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73" w:name="_Toc316375620"/>
      <w:bookmarkStart w:id="174" w:name="_Toc382049120"/>
      <w:bookmarkStart w:id="175" w:name="_Toc20328"/>
      <w:bookmarkStart w:id="176" w:name="_Toc80603819"/>
      <w:bookmarkStart w:id="177" w:name="_Toc30411"/>
      <w:r>
        <w:rPr>
          <w:rFonts w:hint="eastAsia" w:ascii="宋体" w:hAnsi="宋体"/>
          <w:color w:val="auto"/>
          <w:sz w:val="21"/>
          <w:szCs w:val="21"/>
          <w:highlight w:val="none"/>
        </w:rPr>
        <w:t>28.纪律和</w:t>
      </w:r>
      <w:r>
        <w:rPr>
          <w:rFonts w:ascii="宋体" w:hAnsi="宋体"/>
          <w:color w:val="auto"/>
          <w:sz w:val="21"/>
          <w:szCs w:val="21"/>
          <w:highlight w:val="none"/>
        </w:rPr>
        <w:t>保密</w:t>
      </w:r>
      <w:bookmarkEnd w:id="173"/>
      <w:r>
        <w:rPr>
          <w:rFonts w:hint="eastAsia" w:ascii="宋体" w:hAnsi="宋体"/>
          <w:color w:val="auto"/>
          <w:sz w:val="21"/>
          <w:szCs w:val="21"/>
          <w:highlight w:val="none"/>
        </w:rPr>
        <w:t>事项</w:t>
      </w:r>
      <w:bookmarkEnd w:id="174"/>
      <w:bookmarkEnd w:id="175"/>
      <w:bookmarkEnd w:id="176"/>
      <w:bookmarkEnd w:id="177"/>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投标人不得串通作弊，以不正当的手段妨碍、排挤其他投标人，扰乱招标市场，破坏公平竞争原则。否则将按相关法律规定严肃处理。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获得本招标文件的投标人，应对文件进行保密，不得用作本次投标以外的任何用途。开标后，投标人应归还招标文件中要求保密的文件和资料。</w:t>
      </w:r>
    </w:p>
    <w:p>
      <w:pPr>
        <w:rPr>
          <w:color w:val="auto"/>
          <w:highlight w:val="none"/>
        </w:rPr>
      </w:pPr>
    </w:p>
    <w:p>
      <w:pPr>
        <w:pStyle w:val="4"/>
        <w:numPr>
          <w:ilvl w:val="0"/>
          <w:numId w:val="7"/>
        </w:numPr>
        <w:spacing w:before="0" w:after="0" w:line="480" w:lineRule="auto"/>
        <w:jc w:val="center"/>
        <w:rPr>
          <w:rFonts w:ascii="宋体" w:hAnsi="宋体" w:eastAsia="宋体"/>
          <w:color w:val="auto"/>
          <w:highlight w:val="none"/>
        </w:rPr>
      </w:pPr>
      <w:bookmarkStart w:id="178" w:name="_Toc28130"/>
      <w:r>
        <w:rPr>
          <w:rFonts w:hint="eastAsia" w:ascii="宋体" w:hAnsi="宋体" w:eastAsia="宋体"/>
          <w:color w:val="auto"/>
          <w:highlight w:val="none"/>
        </w:rPr>
        <w:t>授予合同</w:t>
      </w:r>
      <w:bookmarkEnd w:id="178"/>
    </w:p>
    <w:p>
      <w:pPr>
        <w:pStyle w:val="5"/>
        <w:widowControl w:val="0"/>
        <w:tabs>
          <w:tab w:val="left" w:pos="8286"/>
        </w:tabs>
        <w:overflowPunct w:val="0"/>
        <w:spacing w:before="0" w:after="0" w:line="240" w:lineRule="auto"/>
        <w:rPr>
          <w:rFonts w:ascii="宋体" w:hAnsi="宋体"/>
          <w:color w:val="auto"/>
          <w:sz w:val="21"/>
          <w:szCs w:val="21"/>
          <w:highlight w:val="none"/>
        </w:rPr>
      </w:pPr>
      <w:bookmarkStart w:id="179" w:name="_Toc508284011"/>
      <w:bookmarkStart w:id="180" w:name="_Toc80603821"/>
      <w:bookmarkStart w:id="181" w:name="_Toc9451"/>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79"/>
      <w:bookmarkEnd w:id="180"/>
      <w:bookmarkEnd w:id="181"/>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根据评标委员会的评审结果，采购人按照评审报告推荐的中标候选人中按顺序依法确定中标人</w:t>
      </w:r>
      <w:r>
        <w:rPr>
          <w:rFonts w:ascii="宋体" w:hAnsi="宋体" w:eastAsia="宋体"/>
          <w:color w:val="auto"/>
          <w:sz w:val="21"/>
          <w:szCs w:val="21"/>
          <w:highlight w:val="none"/>
        </w:rPr>
        <w:t>。</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82" w:name="_Toc15313"/>
      <w:bookmarkStart w:id="183" w:name="_Toc508284013"/>
      <w:bookmarkStart w:id="184" w:name="_Toc80603822"/>
      <w:r>
        <w:rPr>
          <w:rFonts w:hint="eastAsia" w:ascii="宋体" w:hAnsi="宋体"/>
          <w:color w:val="auto"/>
          <w:sz w:val="21"/>
          <w:szCs w:val="21"/>
          <w:highlight w:val="none"/>
        </w:rPr>
        <w:t>30.发布中标结果</w:t>
      </w:r>
      <w:bookmarkEnd w:id="182"/>
      <w:bookmarkEnd w:id="183"/>
      <w:bookmarkEnd w:id="184"/>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评标委员会提出评标书面报告和推荐中标意见报采购人确认后，采购代理机构将在指定的信息发布媒体上发布公告。</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中标公告期限为1个工作日。</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《中标通知书》是合同的一个组成部分，《中标通知书》对采购人和中标人均具有同等法律效力。</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中标人为残疾人福利性单位的，采购人或者其委托的采购代理机构应当随中标、成交结果同时公告其《残疾人福利性单位声明函》，接受社会监督。</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85" w:name="_Toc80603823"/>
      <w:bookmarkStart w:id="186" w:name="_Toc20554"/>
      <w:r>
        <w:rPr>
          <w:rFonts w:hint="eastAsia" w:ascii="宋体" w:hAnsi="宋体"/>
          <w:color w:val="auto"/>
          <w:sz w:val="21"/>
          <w:szCs w:val="21"/>
          <w:highlight w:val="none"/>
        </w:rPr>
        <w:t>31.合同的签订与履行</w:t>
      </w:r>
      <w:bookmarkEnd w:id="185"/>
      <w:bookmarkEnd w:id="186"/>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采购人与中标人应当根据合同的约定依法履行合同义务。</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采购合同的履行、违约责任和解决争议的方法等适用《中华人民共和国民法典》。</w:t>
      </w:r>
    </w:p>
    <w:p>
      <w:pPr>
        <w:widowControl w:val="0"/>
        <w:numPr>
          <w:ilvl w:val="1"/>
          <w:numId w:val="8"/>
        </w:numPr>
        <w:tabs>
          <w:tab w:val="left" w:pos="907"/>
        </w:tabs>
        <w:adjustRightInd/>
        <w:snapToGrid/>
        <w:spacing w:after="0" w:line="360" w:lineRule="exact"/>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合同签订之日起2个工作日内，中标人应将所签订的合同副本（加盖公章）交至三方诚信招标有限公司东莞分公司归档。</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87" w:name="_Toc80603824"/>
      <w:bookmarkStart w:id="188" w:name="_Toc382049124"/>
      <w:bookmarkStart w:id="189" w:name="_Toc29009"/>
      <w:bookmarkStart w:id="190" w:name="_Toc303084277"/>
      <w:bookmarkStart w:id="191" w:name="_Toc8142"/>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87"/>
      <w:bookmarkEnd w:id="188"/>
      <w:bookmarkEnd w:id="189"/>
      <w:bookmarkEnd w:id="190"/>
      <w:bookmarkEnd w:id="191"/>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采用保证金（银行转帐、电汇）方式：中标人必须保证资金在签订合同前到帐。履约保证金账户采购人另行通知，到期后无息退还。</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采用履约保函方式：履约担保。是指由担保机构为投标人交纳履约保证金向采购人或采购代理机构提供的保证担保。投标人未按采购合同履行约定义务的，由担保机构按照担保函约定履行支付履约保证金的责任。</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auto"/>
          <w:highlight w:val="none"/>
        </w:rPr>
      </w:pPr>
    </w:p>
    <w:p>
      <w:pPr>
        <w:pStyle w:val="4"/>
        <w:numPr>
          <w:ilvl w:val="0"/>
          <w:numId w:val="7"/>
        </w:numPr>
        <w:spacing w:before="0" w:after="0" w:line="480" w:lineRule="auto"/>
        <w:jc w:val="center"/>
        <w:rPr>
          <w:rFonts w:ascii="宋体" w:hAnsi="宋体" w:eastAsia="宋体"/>
          <w:color w:val="auto"/>
          <w:highlight w:val="none"/>
        </w:rPr>
      </w:pPr>
      <w:bookmarkStart w:id="192" w:name="_Toc296"/>
      <w:r>
        <w:rPr>
          <w:rFonts w:hint="eastAsia" w:ascii="宋体" w:hAnsi="宋体" w:eastAsia="宋体"/>
          <w:color w:val="auto"/>
          <w:highlight w:val="none"/>
        </w:rPr>
        <w:t>询问或质疑</w:t>
      </w:r>
      <w:bookmarkEnd w:id="192"/>
    </w:p>
    <w:p>
      <w:pPr>
        <w:pStyle w:val="5"/>
        <w:widowControl w:val="0"/>
        <w:tabs>
          <w:tab w:val="left" w:pos="8286"/>
        </w:tabs>
        <w:overflowPunct w:val="0"/>
        <w:spacing w:before="0" w:after="0" w:line="240" w:lineRule="auto"/>
        <w:rPr>
          <w:rFonts w:ascii="宋体" w:hAnsi="宋体"/>
          <w:color w:val="auto"/>
          <w:sz w:val="21"/>
          <w:szCs w:val="21"/>
          <w:highlight w:val="none"/>
        </w:rPr>
      </w:pPr>
      <w:bookmarkStart w:id="193" w:name="_Toc18774"/>
      <w:bookmarkStart w:id="194" w:name="_Toc80603826"/>
      <w:r>
        <w:rPr>
          <w:rFonts w:hint="eastAsia" w:ascii="宋体" w:hAnsi="宋体"/>
          <w:color w:val="auto"/>
          <w:sz w:val="21"/>
          <w:szCs w:val="21"/>
          <w:highlight w:val="none"/>
        </w:rPr>
        <w:t>33.询问</w:t>
      </w:r>
      <w:bookmarkEnd w:id="193"/>
      <w:bookmarkEnd w:id="194"/>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投标人对采购活动事项（招标文件、采购过程和采购结果）有疑问的，可以按规定向采购代理机构提出询问。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195" w:name="_Toc80603827"/>
      <w:bookmarkStart w:id="196" w:name="_Toc22597"/>
      <w:r>
        <w:rPr>
          <w:rFonts w:hint="eastAsia" w:ascii="宋体" w:hAnsi="宋体"/>
          <w:color w:val="auto"/>
          <w:sz w:val="21"/>
          <w:szCs w:val="21"/>
          <w:highlight w:val="none"/>
        </w:rPr>
        <w:t>34.质疑</w:t>
      </w:r>
      <w:bookmarkEnd w:id="195"/>
      <w:bookmarkEnd w:id="196"/>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提出质疑的投标人应当是参与所质疑项目采购活动的投标人或是在规定的时间内已依法获取其可质疑的招标文件的潜在投标人。</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认为招标文件、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投标人在法定质疑期内须一次性提出针对同一采购程序环节的质疑，对同一采购程序环节的二次质疑采购代理机构不予受理。</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投标人提出质疑应当提交质疑函和必要的证明材料（须注明法律依据），因缺少相关证明材料或证明材料存在不真实而导致的后果由投标人自行承担。</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不涉及对投标人利益造成损害的相关内容，不能作为质疑内容提交。</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以联合体形式参加政府采购活动的，其质疑应当由组成联合体的所有投标人共同提出。</w:t>
      </w:r>
    </w:p>
    <w:p>
      <w:pPr>
        <w:rPr>
          <w:color w:val="auto"/>
          <w:highlight w:val="none"/>
        </w:rPr>
      </w:pPr>
    </w:p>
    <w:p>
      <w:pPr>
        <w:pStyle w:val="4"/>
        <w:numPr>
          <w:ilvl w:val="0"/>
          <w:numId w:val="7"/>
        </w:numPr>
        <w:spacing w:before="0" w:after="0" w:line="480" w:lineRule="auto"/>
        <w:jc w:val="center"/>
        <w:rPr>
          <w:rFonts w:ascii="宋体" w:hAnsi="宋体" w:eastAsia="宋体"/>
          <w:color w:val="auto"/>
          <w:highlight w:val="none"/>
        </w:rPr>
      </w:pPr>
      <w:bookmarkStart w:id="197" w:name="_Toc12417"/>
      <w:r>
        <w:rPr>
          <w:rFonts w:hint="eastAsia" w:ascii="宋体" w:hAnsi="宋体" w:eastAsia="宋体"/>
          <w:color w:val="auto"/>
          <w:highlight w:val="none"/>
        </w:rPr>
        <w:t>其他</w:t>
      </w:r>
      <w:bookmarkEnd w:id="197"/>
    </w:p>
    <w:p>
      <w:pPr>
        <w:pStyle w:val="5"/>
        <w:widowControl w:val="0"/>
        <w:tabs>
          <w:tab w:val="left" w:pos="8286"/>
        </w:tabs>
        <w:overflowPunct w:val="0"/>
        <w:spacing w:before="0" w:after="0" w:line="240" w:lineRule="auto"/>
        <w:rPr>
          <w:rFonts w:ascii="宋体" w:hAnsi="宋体"/>
          <w:color w:val="auto"/>
          <w:sz w:val="21"/>
          <w:szCs w:val="21"/>
          <w:highlight w:val="none"/>
        </w:rPr>
      </w:pPr>
      <w:bookmarkStart w:id="198" w:name="_Toc80603829"/>
      <w:bookmarkStart w:id="199" w:name="_Toc9829"/>
      <w:r>
        <w:rPr>
          <w:rFonts w:hint="eastAsia" w:ascii="宋体" w:hAnsi="宋体"/>
          <w:color w:val="auto"/>
          <w:sz w:val="21"/>
          <w:szCs w:val="21"/>
          <w:highlight w:val="none"/>
        </w:rPr>
        <w:t>35.招标文件的解释权</w:t>
      </w:r>
      <w:bookmarkEnd w:id="198"/>
      <w:bookmarkEnd w:id="199"/>
    </w:p>
    <w:p>
      <w:pPr>
        <w:pStyle w:val="35"/>
        <w:widowControl w:val="0"/>
        <w:numPr>
          <w:ilvl w:val="0"/>
          <w:numId w:val="8"/>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招标文件版本号：三方诚信20210506。</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本招标文件是根据国家有关法律、法规以及政府采购管理有关规定和参照国际惯例编制，解释权属本采购代理机构。</w:t>
      </w:r>
    </w:p>
    <w:p>
      <w:pPr>
        <w:widowControl w:val="0"/>
        <w:numPr>
          <w:ilvl w:val="1"/>
          <w:numId w:val="8"/>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3"/>
        <w:spacing w:before="0" w:after="0" w:line="240" w:lineRule="auto"/>
        <w:rPr>
          <w:color w:val="auto"/>
          <w:sz w:val="28"/>
          <w:szCs w:val="28"/>
          <w:highlight w:val="none"/>
        </w:rPr>
      </w:pPr>
      <w:bookmarkStart w:id="200" w:name="_Toc24543"/>
      <w:r>
        <w:rPr>
          <w:rFonts w:hint="eastAsia"/>
          <w:color w:val="auto"/>
          <w:sz w:val="28"/>
          <w:szCs w:val="28"/>
          <w:highlight w:val="none"/>
        </w:rPr>
        <w:t>第五部分 合同格式（仅供参考）</w:t>
      </w:r>
      <w:bookmarkEnd w:id="200"/>
      <w:bookmarkStart w:id="201" w:name="_Toc21155"/>
      <w:bookmarkStart w:id="202" w:name="_Toc1534"/>
      <w:bookmarkStart w:id="203" w:name="_Toc13430"/>
    </w:p>
    <w:p>
      <w:pPr>
        <w:pStyle w:val="4"/>
        <w:spacing w:before="0" w:after="0" w:line="240" w:lineRule="auto"/>
        <w:jc w:val="center"/>
        <w:rPr>
          <w:rFonts w:ascii="宋体" w:hAnsi="宋体" w:eastAsia="宋体" w:cs="宋体"/>
          <w:color w:val="auto"/>
          <w:highlight w:val="none"/>
        </w:rPr>
      </w:pPr>
      <w:bookmarkStart w:id="204" w:name="_Toc23857"/>
      <w:r>
        <w:rPr>
          <w:rFonts w:hint="eastAsia" w:ascii="宋体" w:hAnsi="宋体" w:eastAsia="宋体" w:cs="宋体"/>
          <w:color w:val="auto"/>
          <w:highlight w:val="none"/>
        </w:rPr>
        <w:t>合同格式</w:t>
      </w:r>
      <w:bookmarkEnd w:id="201"/>
      <w:bookmarkEnd w:id="202"/>
      <w:bookmarkEnd w:id="203"/>
      <w:bookmarkEnd w:id="204"/>
    </w:p>
    <w:p>
      <w:pPr>
        <w:spacing w:line="420" w:lineRule="atLeast"/>
        <w:ind w:right="560"/>
        <w:rPr>
          <w:rFonts w:ascii="宋体" w:hAnsi="宋体" w:eastAsia="宋体"/>
          <w:color w:val="auto"/>
          <w:sz w:val="21"/>
          <w:szCs w:val="21"/>
          <w:highlight w:val="none"/>
        </w:rPr>
      </w:pPr>
      <w:r>
        <w:rPr>
          <w:rFonts w:hint="eastAsia" w:ascii="宋体" w:hAnsi="宋体" w:eastAsia="宋体"/>
          <w:color w:val="auto"/>
          <w:sz w:val="21"/>
          <w:szCs w:val="21"/>
          <w:highlight w:val="none"/>
        </w:rPr>
        <w:t>合同编号：</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甲方：</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乙方：“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受甲方委托，</w:t>
      </w:r>
      <w:r>
        <w:rPr>
          <w:rFonts w:hint="eastAsia" w:ascii="宋体" w:hAnsi="宋体" w:eastAsia="宋体"/>
          <w:color w:val="auto"/>
          <w:sz w:val="21"/>
          <w:szCs w:val="21"/>
          <w:highlight w:val="none"/>
          <w:u w:val="single"/>
        </w:rPr>
        <w:t xml:space="preserve">           (采购代理机构)</w:t>
      </w:r>
      <w:r>
        <w:rPr>
          <w:rFonts w:hint="eastAsia" w:ascii="宋体" w:hAnsi="宋体" w:eastAsia="宋体"/>
          <w:color w:val="auto"/>
          <w:sz w:val="21"/>
          <w:szCs w:val="21"/>
          <w:highlight w:val="none"/>
        </w:rPr>
        <w:t>组织对</w:t>
      </w:r>
      <w:r>
        <w:rPr>
          <w:rFonts w:hint="eastAsia" w:ascii="宋体" w:hAnsi="宋体" w:eastAsia="宋体"/>
          <w:color w:val="auto"/>
          <w:sz w:val="21"/>
          <w:szCs w:val="21"/>
          <w:highlight w:val="none"/>
          <w:u w:val="single"/>
        </w:rPr>
        <w:t xml:space="preserve">         （项目名称）</w:t>
      </w:r>
      <w:r>
        <w:rPr>
          <w:rFonts w:hint="eastAsia" w:ascii="宋体" w:hAnsi="宋体" w:eastAsia="宋体"/>
          <w:color w:val="auto"/>
          <w:sz w:val="21"/>
          <w:szCs w:val="21"/>
          <w:highlight w:val="none"/>
        </w:rPr>
        <w:t>采购项目（采购项目编号为</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）进行采购，于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日通过公开招标，经评标委员会评定乙方</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为中标单位。为了保护甲、乙双方合法权益，根据《中华人民共和国</w:t>
      </w:r>
      <w:r>
        <w:rPr>
          <w:rFonts w:hint="eastAsia" w:eastAsia="宋体"/>
          <w:color w:val="auto"/>
          <w:highlight w:val="none"/>
        </w:rPr>
        <w:t>民法典</w:t>
      </w:r>
      <w:r>
        <w:rPr>
          <w:rFonts w:hint="eastAsia" w:ascii="宋体" w:hAnsi="宋体" w:eastAsia="宋体"/>
          <w:color w:val="auto"/>
          <w:sz w:val="21"/>
          <w:szCs w:val="21"/>
          <w:highlight w:val="none"/>
        </w:rPr>
        <w:t>》，在平等自愿的基础上，按照下面的条款和条件，签署本合同。</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第一条 合同项目</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1、项目名称：                       ；</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2、采购项目编号：                   。</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第二条 合同组成</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auto"/>
          <w:sz w:val="21"/>
          <w:szCs w:val="21"/>
          <w:highlight w:val="none"/>
        </w:rPr>
      </w:pPr>
      <w:bookmarkStart w:id="205" w:name="_Toc86481558"/>
      <w:r>
        <w:rPr>
          <w:rFonts w:hint="eastAsia" w:ascii="宋体" w:hAnsi="宋体" w:eastAsia="宋体"/>
          <w:b/>
          <w:color w:val="auto"/>
          <w:sz w:val="21"/>
          <w:szCs w:val="21"/>
          <w:highlight w:val="none"/>
        </w:rPr>
        <w:t>第三条 服务内容、标准及要求</w:t>
      </w:r>
    </w:p>
    <w:p>
      <w:pPr>
        <w:spacing w:after="0" w:line="360" w:lineRule="auto"/>
        <w:rPr>
          <w:rFonts w:ascii="宋体" w:hAnsi="宋体" w:eastAsia="宋体" w:cs="仿宋"/>
          <w:color w:val="auto"/>
          <w:sz w:val="21"/>
          <w:szCs w:val="21"/>
          <w:highlight w:val="none"/>
          <w:u w:val="single"/>
          <w:shd w:val="clear" w:color="auto" w:fill="FFFFFF"/>
        </w:rPr>
      </w:pPr>
      <w:r>
        <w:rPr>
          <w:rFonts w:hint="eastAsia" w:ascii="宋体" w:hAnsi="宋体" w:eastAsia="宋体" w:cs="仿宋"/>
          <w:color w:val="auto"/>
          <w:sz w:val="21"/>
          <w:szCs w:val="21"/>
          <w:highlight w:val="none"/>
          <w:shd w:val="clear" w:color="auto" w:fill="FFFFFF"/>
        </w:rPr>
        <w:t>1、采购内容：</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2、采购标准：</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3、采购要求：</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第四条 价格</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2、合同总价：（人民币）大写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3、本合同价为固定不变价。</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第五条 服务期限及地点</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1、服务期：  年，合同生效之日自       年  月  日至     年  月  日止。</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2、服务地点：              或甲方指定地点。</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第六条 付款方式</w:t>
      </w:r>
    </w:p>
    <w:p>
      <w:pPr>
        <w:pStyle w:val="25"/>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1、本合同的付款方式为：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w:t>
      </w:r>
    </w:p>
    <w:p>
      <w:pPr>
        <w:pStyle w:val="25"/>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第七条 验收方式</w:t>
      </w:r>
    </w:p>
    <w:p>
      <w:pPr>
        <w:pStyle w:val="2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1、验收应在甲乙双方共同参加下进行，依据招标文件及本合同的有关规定制定的方案进行验收，并按国家有关规定、规范进行。</w:t>
      </w:r>
    </w:p>
    <w:p>
      <w:pPr>
        <w:pStyle w:val="2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pPr>
        <w:pStyle w:val="2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第八条 税和关税</w:t>
      </w:r>
    </w:p>
    <w:p>
      <w:pPr>
        <w:pStyle w:val="2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pPr>
        <w:pStyle w:val="2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pPr>
        <w:pStyle w:val="2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第九条 其它约定</w:t>
      </w:r>
    </w:p>
    <w:p>
      <w:pPr>
        <w:spacing w:after="0" w:line="360" w:lineRule="auto"/>
        <w:ind w:firstLine="420" w:firstLineChars="200"/>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、严禁转包，未经甲方书面同意不得分包。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2、乙方全部工作人员，须符合东莞市政府用工标准要求。</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3、乙方服务人员进行服务期间的过失或故意行为，造成甲方经济损失的，由乙方负责赔偿。</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第十条 违约责任</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%的违约金。</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2、由于乙方的原因，导致双方签订的合同终止，乙方因此而遭受的损失，将由乙方独立承担，甲方对此不负任何责任，也不作任何赔偿。</w:t>
      </w:r>
    </w:p>
    <w:bookmarkEnd w:id="205"/>
    <w:p>
      <w:pPr>
        <w:spacing w:after="0" w:line="360" w:lineRule="auto"/>
        <w:ind w:firstLine="422" w:firstLineChars="200"/>
        <w:rPr>
          <w:rFonts w:ascii="宋体" w:hAnsi="宋体" w:eastAsia="宋体"/>
          <w:b/>
          <w:color w:val="auto"/>
          <w:sz w:val="21"/>
          <w:szCs w:val="21"/>
          <w:highlight w:val="none"/>
        </w:rPr>
      </w:pPr>
      <w:bookmarkStart w:id="206" w:name="_Toc86481570"/>
      <w:r>
        <w:rPr>
          <w:rFonts w:hint="eastAsia" w:ascii="宋体" w:hAnsi="宋体" w:eastAsia="宋体"/>
          <w:b/>
          <w:color w:val="auto"/>
          <w:sz w:val="21"/>
          <w:szCs w:val="21"/>
          <w:highlight w:val="none"/>
        </w:rPr>
        <w:t>第十一条 争议的解决</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2、本合同发生的诉讼管辖地为东莞市有管辖权的法院。</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3、在进行法院审理期间，除提交法院审理的事项外，合同其他部分仍继续履行。</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宋体"/>
          <w:color w:val="auto"/>
          <w:sz w:val="21"/>
          <w:szCs w:val="21"/>
          <w:highlight w:val="none"/>
        </w:rPr>
        <w:t>4、本合同按照中华人民共和国的法律进行解释</w:t>
      </w:r>
      <w:r>
        <w:rPr>
          <w:rFonts w:hint="eastAsia" w:ascii="宋体" w:hAnsi="宋体" w:eastAsia="宋体" w:cs="仿宋"/>
          <w:color w:val="auto"/>
          <w:sz w:val="21"/>
          <w:szCs w:val="21"/>
          <w:highlight w:val="none"/>
          <w:shd w:val="clear" w:color="auto" w:fill="FFFFFF"/>
        </w:rPr>
        <w:t>。</w:t>
      </w:r>
    </w:p>
    <w:p>
      <w:pPr>
        <w:spacing w:after="0" w:line="360" w:lineRule="auto"/>
        <w:ind w:firstLine="422" w:firstLineChars="200"/>
        <w:rPr>
          <w:rFonts w:ascii="宋体" w:hAnsi="宋体" w:eastAsia="宋体"/>
          <w:b/>
          <w:color w:val="auto"/>
          <w:sz w:val="21"/>
          <w:szCs w:val="21"/>
          <w:highlight w:val="none"/>
        </w:rPr>
      </w:pPr>
      <w:bookmarkStart w:id="207" w:name="_Toc86481569"/>
      <w:r>
        <w:rPr>
          <w:rFonts w:hint="eastAsia" w:ascii="宋体" w:hAnsi="宋体" w:eastAsia="宋体"/>
          <w:b/>
          <w:color w:val="auto"/>
          <w:sz w:val="21"/>
          <w:szCs w:val="21"/>
          <w:highlight w:val="none"/>
        </w:rPr>
        <w:t>第十二条 合同生效</w:t>
      </w:r>
      <w:bookmarkEnd w:id="207"/>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第十三条 其它</w:t>
      </w:r>
      <w:bookmarkEnd w:id="206"/>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本合同合计   页A4纸张，缺页之合同为无效合同。</w:t>
      </w:r>
    </w:p>
    <w:p>
      <w:pPr>
        <w:spacing w:after="0" w:line="360" w:lineRule="auto"/>
        <w:rPr>
          <w:rFonts w:ascii="宋体" w:hAnsi="宋体" w:eastAsia="宋体"/>
          <w:color w:val="auto"/>
          <w:sz w:val="21"/>
          <w:szCs w:val="21"/>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甲方（盖章）：                      乙方（盖章）：</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法定代表(签字)：                    法定代表(签字)：</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地址：                              地址：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                              电话：</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 xml:space="preserve"> 传真：</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开户银行：</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 xml:space="preserve">                      开户银行：</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账号：                              账号：</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签约时间：</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签约地点：</w:t>
      </w:r>
    </w:p>
    <w:p>
      <w:pPr>
        <w:rPr>
          <w:rFonts w:ascii="宋体" w:hAnsi="宋体" w:eastAsia="宋体"/>
          <w:b/>
          <w:color w:val="auto"/>
          <w:sz w:val="21"/>
          <w:szCs w:val="21"/>
          <w:highlight w:val="none"/>
        </w:rPr>
      </w:pP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此仅为合同书样本，中标人需根据实际情况和甲方签订相应的合同！</w:t>
      </w: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pPr>
        <w:pStyle w:val="3"/>
        <w:spacing w:before="0" w:after="0" w:line="240" w:lineRule="auto"/>
        <w:rPr>
          <w:color w:val="auto"/>
          <w:sz w:val="28"/>
          <w:szCs w:val="28"/>
          <w:highlight w:val="none"/>
        </w:rPr>
      </w:pPr>
      <w:bookmarkStart w:id="208" w:name="_Toc13929"/>
      <w:r>
        <w:rPr>
          <w:rFonts w:hint="eastAsia"/>
          <w:color w:val="auto"/>
          <w:sz w:val="28"/>
          <w:szCs w:val="28"/>
          <w:highlight w:val="none"/>
        </w:rPr>
        <w:t>第六部分  附件－投标文件格式</w:t>
      </w:r>
      <w:bookmarkEnd w:id="208"/>
    </w:p>
    <w:p>
      <w:pPr>
        <w:rPr>
          <w:color w:val="auto"/>
          <w:highlight w:val="none"/>
        </w:rPr>
      </w:pP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09" w:name="_Toc80603833"/>
      <w:bookmarkStart w:id="210" w:name="_Toc3048"/>
      <w:r>
        <w:rPr>
          <w:rFonts w:hint="eastAsia" w:ascii="宋体" w:hAnsi="宋体"/>
          <w:color w:val="auto"/>
          <w:sz w:val="21"/>
          <w:szCs w:val="21"/>
          <w:highlight w:val="none"/>
        </w:rPr>
        <w:t>附件1.投标文件目录</w:t>
      </w:r>
      <w:bookmarkEnd w:id="209"/>
      <w:bookmarkEnd w:id="210"/>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目录</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1、投标人制作的投标文件应当具备目录。</w:t>
      </w:r>
      <w:r>
        <w:rPr>
          <w:rFonts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11" w:name="_Toc80603834"/>
      <w:bookmarkStart w:id="212" w:name="_Toc10724"/>
      <w:r>
        <w:rPr>
          <w:rFonts w:hint="eastAsia" w:ascii="宋体" w:hAnsi="宋体"/>
          <w:color w:val="auto"/>
          <w:sz w:val="21"/>
          <w:szCs w:val="21"/>
          <w:highlight w:val="none"/>
        </w:rPr>
        <w:t>附件1-1 评分标准索引表</w:t>
      </w:r>
      <w:bookmarkEnd w:id="211"/>
      <w:bookmarkEnd w:id="212"/>
    </w:p>
    <w:p>
      <w:pPr>
        <w:adjustRightInd/>
        <w:snapToGrid/>
        <w:spacing w:line="276" w:lineRule="auto"/>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32"/>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trPr>
        <w:tc>
          <w:tcPr>
            <w:tcW w:w="1704" w:type="dxa"/>
            <w:vAlign w:val="center"/>
          </w:tcPr>
          <w:p>
            <w:pPr>
              <w:spacing w:after="0"/>
              <w:jc w:val="center"/>
              <w:rPr>
                <w:rFonts w:ascii="宋体" w:hAnsi="宋体" w:eastAsia="宋体" w:cs="宋体"/>
                <w:color w:val="auto"/>
                <w:highlight w:val="none"/>
              </w:rPr>
            </w:pPr>
            <w:r>
              <w:rPr>
                <w:rFonts w:hint="eastAsia" w:ascii="宋体" w:hAnsi="宋体" w:eastAsia="宋体" w:cs="宋体"/>
                <w:color w:val="auto"/>
                <w:highlight w:val="none"/>
              </w:rPr>
              <w:t>序号</w:t>
            </w:r>
          </w:p>
        </w:tc>
        <w:tc>
          <w:tcPr>
            <w:tcW w:w="1704" w:type="dxa"/>
            <w:vAlign w:val="center"/>
          </w:tcPr>
          <w:p>
            <w:pPr>
              <w:spacing w:after="0"/>
              <w:jc w:val="center"/>
              <w:rPr>
                <w:rFonts w:ascii="宋体" w:hAnsi="宋体" w:eastAsia="宋体" w:cs="宋体"/>
                <w:color w:val="auto"/>
                <w:highlight w:val="none"/>
              </w:rPr>
            </w:pPr>
            <w:r>
              <w:rPr>
                <w:rFonts w:hint="eastAsia" w:ascii="宋体" w:hAnsi="宋体" w:eastAsia="宋体" w:cs="宋体"/>
                <w:color w:val="auto"/>
                <w:highlight w:val="none"/>
              </w:rPr>
              <w:t>评审项目</w:t>
            </w:r>
          </w:p>
        </w:tc>
        <w:tc>
          <w:tcPr>
            <w:tcW w:w="1704" w:type="dxa"/>
            <w:vAlign w:val="center"/>
          </w:tcPr>
          <w:p>
            <w:pPr>
              <w:spacing w:after="0"/>
              <w:jc w:val="center"/>
              <w:rPr>
                <w:rFonts w:ascii="宋体" w:hAnsi="宋体" w:eastAsia="宋体" w:cs="宋体"/>
                <w:color w:val="auto"/>
                <w:highlight w:val="none"/>
              </w:rPr>
            </w:pPr>
            <w:r>
              <w:rPr>
                <w:rFonts w:hint="eastAsia" w:ascii="宋体" w:hAnsi="宋体" w:eastAsia="宋体" w:cs="宋体"/>
                <w:color w:val="auto"/>
                <w:highlight w:val="none"/>
              </w:rPr>
              <w:t>评分细则</w:t>
            </w:r>
          </w:p>
        </w:tc>
        <w:tc>
          <w:tcPr>
            <w:tcW w:w="1705" w:type="dxa"/>
            <w:vAlign w:val="center"/>
          </w:tcPr>
          <w:p>
            <w:pPr>
              <w:spacing w:after="0"/>
              <w:jc w:val="center"/>
              <w:rPr>
                <w:rFonts w:ascii="宋体" w:hAnsi="宋体" w:eastAsia="宋体" w:cs="宋体"/>
                <w:color w:val="auto"/>
                <w:highlight w:val="none"/>
              </w:rPr>
            </w:pPr>
            <w:r>
              <w:rPr>
                <w:rFonts w:hint="eastAsia" w:ascii="宋体" w:hAnsi="宋体" w:eastAsia="宋体" w:cs="宋体"/>
                <w:color w:val="auto"/>
                <w:highlight w:val="none"/>
              </w:rPr>
              <w:t>分值</w:t>
            </w:r>
          </w:p>
        </w:tc>
        <w:tc>
          <w:tcPr>
            <w:tcW w:w="1705" w:type="dxa"/>
            <w:vAlign w:val="center"/>
          </w:tcPr>
          <w:p>
            <w:pPr>
              <w:spacing w:after="0"/>
              <w:jc w:val="center"/>
              <w:rPr>
                <w:rFonts w:ascii="宋体" w:hAnsi="宋体" w:eastAsia="宋体" w:cs="宋体"/>
                <w:color w:val="auto"/>
                <w:highlight w:val="none"/>
              </w:rPr>
            </w:pPr>
            <w:r>
              <w:rPr>
                <w:rFonts w:hint="eastAsia" w:ascii="宋体" w:hAnsi="宋体" w:eastAsia="宋体" w:cs="宋体"/>
                <w:color w:val="auto"/>
                <w:highlight w:val="none"/>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8522" w:type="dxa"/>
            <w:gridSpan w:val="5"/>
            <w:vAlign w:val="center"/>
          </w:tcPr>
          <w:p>
            <w:pPr>
              <w:spacing w:after="0"/>
              <w:rPr>
                <w:rFonts w:ascii="宋体" w:hAnsi="宋体" w:eastAsia="宋体" w:cs="宋体"/>
                <w:color w:val="auto"/>
                <w:highlight w:val="none"/>
              </w:rPr>
            </w:pPr>
            <w:r>
              <w:rPr>
                <w:rFonts w:hint="eastAsia" w:ascii="宋体" w:hAnsi="宋体" w:eastAsia="宋体" w:cs="宋体"/>
                <w:color w:val="auto"/>
                <w:highlight w:val="none"/>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8522" w:type="dxa"/>
            <w:gridSpan w:val="5"/>
            <w:vAlign w:val="center"/>
          </w:tcPr>
          <w:p>
            <w:pPr>
              <w:spacing w:after="0"/>
              <w:rPr>
                <w:rFonts w:ascii="宋体" w:hAnsi="宋体" w:eastAsia="宋体" w:cs="宋体"/>
                <w:color w:val="auto"/>
                <w:highlight w:val="none"/>
              </w:rPr>
            </w:pPr>
            <w:r>
              <w:rPr>
                <w:rFonts w:hint="eastAsia" w:ascii="宋体" w:hAnsi="宋体" w:eastAsia="宋体" w:cs="宋体"/>
                <w:color w:val="auto"/>
                <w:highlight w:val="none"/>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4"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c>
          <w:tcPr>
            <w:tcW w:w="1705" w:type="dxa"/>
            <w:vAlign w:val="center"/>
          </w:tcPr>
          <w:p>
            <w:pPr>
              <w:spacing w:after="0"/>
              <w:jc w:val="center"/>
              <w:rPr>
                <w:rFonts w:ascii="宋体" w:hAnsi="宋体" w:eastAsia="宋体" w:cs="宋体"/>
                <w:color w:val="auto"/>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numPr>
          <w:ilvl w:val="0"/>
          <w:numId w:val="12"/>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该表格为参考格式，投标人可按实际情况自行制订评分标准索引表。</w:t>
      </w:r>
    </w:p>
    <w:p>
      <w:pPr>
        <w:pStyle w:val="9"/>
        <w:spacing w:before="0"/>
        <w:ind w:left="0"/>
        <w:rPr>
          <w:color w:val="auto"/>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13" w:name="_Toc80603835"/>
      <w:bookmarkStart w:id="214" w:name="_Toc28341"/>
      <w:r>
        <w:rPr>
          <w:rFonts w:hint="eastAsia" w:ascii="宋体" w:hAnsi="宋体"/>
          <w:color w:val="auto"/>
          <w:sz w:val="21"/>
          <w:szCs w:val="21"/>
          <w:highlight w:val="none"/>
        </w:rPr>
        <w:t>附件2.投标书格式</w:t>
      </w:r>
      <w:bookmarkEnd w:id="213"/>
      <w:bookmarkEnd w:id="214"/>
    </w:p>
    <w:p>
      <w:pPr>
        <w:jc w:val="center"/>
        <w:rPr>
          <w:rFonts w:ascii="宋体" w:hAnsi="宋体" w:eastAsia="宋体"/>
          <w:color w:val="auto"/>
          <w:sz w:val="21"/>
          <w:szCs w:val="21"/>
          <w:highlight w:val="none"/>
        </w:rPr>
      </w:pPr>
      <w:r>
        <w:rPr>
          <w:rFonts w:hint="eastAsia" w:ascii="黑体" w:eastAsia="黑体"/>
          <w:color w:val="auto"/>
          <w:sz w:val="32"/>
          <w:szCs w:val="32"/>
          <w:highlight w:val="none"/>
        </w:rPr>
        <w:t>投标书</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致：三方诚信招标有限公司东莞分公司：</w:t>
      </w:r>
    </w:p>
    <w:p>
      <w:pPr>
        <w:spacing w:after="0" w:line="360" w:lineRule="auto"/>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经正式授权并代表投标人</w:t>
      </w:r>
      <w:r>
        <w:rPr>
          <w:rFonts w:hint="eastAsia" w:ascii="宋体" w:hAnsi="宋体" w:eastAsia="宋体"/>
          <w:color w:val="auto"/>
          <w:sz w:val="21"/>
          <w:szCs w:val="21"/>
          <w:highlight w:val="none"/>
          <w:u w:val="single"/>
        </w:rPr>
        <w:t>（投标人名称、地址）</w:t>
      </w:r>
      <w:r>
        <w:rPr>
          <w:rFonts w:hint="eastAsia" w:ascii="宋体" w:hAnsi="宋体" w:eastAsia="宋体"/>
          <w:color w:val="auto"/>
          <w:sz w:val="21"/>
          <w:szCs w:val="21"/>
          <w:highlight w:val="none"/>
        </w:rPr>
        <w:t>提交投标文件及“开标文件”：</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在此，签字代表宣布同意如下： </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我方将按招标文件的规定履行合同责任和义务。 </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auto"/>
          <w:sz w:val="21"/>
          <w:szCs w:val="21"/>
          <w:highlight w:val="none"/>
        </w:rPr>
        <w:t xml:space="preserve"> </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本投标有效期为自开标日起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个日历日。 </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我方保证遵守投标人须知中关于没收投标保证金的规定。</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承诺，我方具备投标人邀请中所要求的资格条件，已清楚招标文件所有要求及有关规定；并承诺参加本次采购活动中，如有违法、违规、弄虚作假行为，所造成的损失、不良后果及法律责任，一律由我方承担；</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我方同意提供按照贵方可能要求的与其投标有关的一切数据或资料。</w:t>
      </w:r>
    </w:p>
    <w:p>
      <w:pPr>
        <w:widowControl w:val="0"/>
        <w:numPr>
          <w:ilvl w:val="0"/>
          <w:numId w:val="13"/>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与本投标有关的一切正式信函请寄：</w:t>
      </w:r>
    </w:p>
    <w:p>
      <w:pPr>
        <w:spacing w:after="0" w:line="360" w:lineRule="auto"/>
        <w:rPr>
          <w:rFonts w:ascii="宋体" w:hAnsi="宋体" w:eastAsia="宋体"/>
          <w:color w:val="auto"/>
          <w:sz w:val="21"/>
          <w:szCs w:val="21"/>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地址：　　　　　　　　　　　　　　　　　　　传真：</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电子函件：</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投标人代表签字：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投标人名称（全称）：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投标人盖章：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投标人开户银行（全称）：</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投标人银行帐号：</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15" w:name="_Toc80603836"/>
      <w:bookmarkStart w:id="216" w:name="_Toc5475"/>
      <w:r>
        <w:rPr>
          <w:rFonts w:hint="eastAsia" w:ascii="宋体" w:hAnsi="宋体"/>
          <w:color w:val="auto"/>
          <w:sz w:val="21"/>
          <w:szCs w:val="21"/>
          <w:highlight w:val="none"/>
        </w:rPr>
        <w:t>附件3.开标一览表格式</w:t>
      </w:r>
      <w:bookmarkEnd w:id="215"/>
      <w:bookmarkEnd w:id="216"/>
    </w:p>
    <w:p>
      <w:pPr>
        <w:jc w:val="center"/>
        <w:rPr>
          <w:rFonts w:ascii="黑体" w:eastAsia="黑体"/>
          <w:color w:val="auto"/>
          <w:sz w:val="32"/>
          <w:szCs w:val="32"/>
          <w:highlight w:val="none"/>
        </w:rPr>
      </w:pPr>
      <w:r>
        <w:rPr>
          <w:rFonts w:hint="eastAsia" w:ascii="黑体" w:eastAsia="黑体"/>
          <w:color w:val="auto"/>
          <w:sz w:val="32"/>
          <w:szCs w:val="32"/>
          <w:highlight w:val="none"/>
        </w:rPr>
        <w:t>开标一览表</w:t>
      </w:r>
    </w:p>
    <w:p>
      <w:pPr>
        <w:spacing w:line="360" w:lineRule="auto"/>
        <w:rPr>
          <w:color w:val="auto"/>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投标人名称：</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w:t>
      </w:r>
    </w:p>
    <w:tbl>
      <w:tblPr>
        <w:tblStyle w:val="31"/>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投标下浮率</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atLeast"/>
          <w:jc w:val="center"/>
        </w:trPr>
        <w:tc>
          <w:tcPr>
            <w:tcW w:w="2714" w:type="dxa"/>
            <w:vAlign w:val="top"/>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085" w:type="dxa"/>
            <w:vAlign w:val="top"/>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262" w:type="dxa"/>
            <w:vAlign w:val="top"/>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r>
    </w:tbl>
    <w:p>
      <w:pPr>
        <w:spacing w:after="0" w:line="360" w:lineRule="auto"/>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spacing w:after="0" w:line="360" w:lineRule="auto"/>
        <w:ind w:firstLine="359" w:firstLineChars="171"/>
        <w:rPr>
          <w:rFonts w:ascii="宋体" w:hAnsi="宋体" w:eastAsia="宋体"/>
          <w:color w:val="auto"/>
          <w:sz w:val="21"/>
          <w:szCs w:val="21"/>
          <w:highlight w:val="none"/>
        </w:rPr>
      </w:pPr>
    </w:p>
    <w:p>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注：1、投标总价栏须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表示的投标总价</w:t>
      </w:r>
      <w:r>
        <w:rPr>
          <w:rFonts w:hint="eastAsia" w:ascii="宋体" w:hAnsi="宋体" w:eastAsia="宋体"/>
          <w:color w:val="auto"/>
          <w:sz w:val="21"/>
          <w:szCs w:val="21"/>
          <w:highlight w:val="none"/>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3、温馨提示：未按招标文件要求报价、填写开标一览表是导致投标人废标的常见问题，请投标人仔细填写，认真核对。</w:t>
      </w: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17" w:name="_Toc80603837"/>
      <w:bookmarkStart w:id="218" w:name="_Toc15560"/>
      <w:r>
        <w:rPr>
          <w:rFonts w:hint="eastAsia" w:ascii="宋体" w:hAnsi="宋体"/>
          <w:color w:val="auto"/>
          <w:sz w:val="21"/>
          <w:szCs w:val="21"/>
          <w:highlight w:val="none"/>
        </w:rPr>
        <w:t xml:space="preserve">附件4. </w:t>
      </w:r>
      <w:r>
        <w:rPr>
          <w:rFonts w:hint="eastAsia" w:ascii="宋体" w:hAnsi="宋体" w:cs="Times New Roman"/>
          <w:color w:val="auto"/>
          <w:sz w:val="21"/>
          <w:szCs w:val="21"/>
          <w:highlight w:val="none"/>
        </w:rPr>
        <w:t>投标分项报价表格式</w:t>
      </w:r>
      <w:bookmarkEnd w:id="217"/>
      <w:bookmarkEnd w:id="218"/>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货物（服务）分项报价表</w:t>
      </w:r>
      <w:r>
        <w:rPr>
          <w:rFonts w:hint="eastAsia" w:ascii="宋体" w:hAnsi="宋体" w:eastAsia="宋体"/>
          <w:color w:val="auto"/>
          <w:sz w:val="21"/>
          <w:szCs w:val="21"/>
          <w:highlight w:val="none"/>
        </w:rPr>
        <w:t xml:space="preserve"> </w:t>
      </w:r>
    </w:p>
    <w:tbl>
      <w:tblPr>
        <w:tblStyle w:val="31"/>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37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货物（服务）名称</w:t>
            </w: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规格型号（服务内容）</w:t>
            </w: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总价</w:t>
            </w: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总价</w:t>
            </w:r>
          </w:p>
        </w:tc>
        <w:tc>
          <w:tcPr>
            <w:tcW w:w="2261" w:type="dxa"/>
            <w:gridSpan w:val="2"/>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tc>
      </w:tr>
    </w:tbl>
    <w:p>
      <w:pPr>
        <w:rPr>
          <w:rFonts w:ascii="宋体" w:hAnsi="宋体" w:eastAsia="宋体" w:cs="宋体"/>
          <w:b/>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s="宋体"/>
          <w:b/>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19" w:name="_Toc80603838"/>
      <w:bookmarkStart w:id="220" w:name="_Toc4283"/>
      <w:r>
        <w:rPr>
          <w:rFonts w:hint="eastAsia" w:ascii="宋体" w:hAnsi="宋体"/>
          <w:color w:val="auto"/>
          <w:sz w:val="21"/>
          <w:szCs w:val="21"/>
          <w:highlight w:val="none"/>
        </w:rPr>
        <w:t>附件5. 法定代表人证明书格式</w:t>
      </w:r>
      <w:bookmarkEnd w:id="219"/>
      <w:bookmarkEnd w:id="220"/>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法定代表人证明书</w:t>
      </w:r>
    </w:p>
    <w:p>
      <w:pPr>
        <w:pStyle w:val="36"/>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致：三方诚信招标有限公司东莞分公司</w:t>
      </w:r>
    </w:p>
    <w:p>
      <w:pPr>
        <w:pStyle w:val="36"/>
        <w:spacing w:line="420" w:lineRule="atLeast"/>
        <w:ind w:firstLine="433"/>
        <w:rPr>
          <w:rFonts w:ascii="宋体" w:eastAsia="宋体"/>
          <w:color w:val="auto"/>
          <w:sz w:val="21"/>
          <w:szCs w:val="21"/>
          <w:highlight w:val="none"/>
        </w:rPr>
      </w:pPr>
    </w:p>
    <w:p>
      <w:pPr>
        <w:pStyle w:val="36"/>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pPr>
        <w:pStyle w:val="36"/>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pPr>
        <w:pStyle w:val="36"/>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pPr>
        <w:pStyle w:val="36"/>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36"/>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r>
        <w:rPr>
          <w:rFonts w:hint="eastAsia" w:ascii="宋体" w:eastAsia="宋体"/>
          <w:color w:val="auto"/>
          <w:sz w:val="21"/>
          <w:szCs w:val="21"/>
          <w:highlight w:val="none"/>
          <w:u w:val="single"/>
        </w:rPr>
        <w:t xml:space="preserve">                                      </w:t>
      </w:r>
    </w:p>
    <w:p>
      <w:pPr>
        <w:pStyle w:val="36"/>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性别：</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36"/>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（投标人名称）的法定代表人。</w:t>
      </w:r>
    </w:p>
    <w:p>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pPr>
        <w:pStyle w:val="36"/>
        <w:spacing w:line="500" w:lineRule="atLeast"/>
        <w:ind w:firstLine="3517" w:firstLineChars="1675"/>
        <w:rPr>
          <w:rFonts w:ascii="宋体" w:eastAsia="宋体"/>
          <w:color w:val="auto"/>
          <w:sz w:val="21"/>
          <w:szCs w:val="21"/>
          <w:highlight w:val="none"/>
        </w:rPr>
      </w:pP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r>
        <w:rPr>
          <w:rFonts w:hint="eastAsia" w:ascii="宋体" w:eastAsia="宋体"/>
          <w:color w:val="auto"/>
          <w:sz w:val="21"/>
          <w:szCs w:val="21"/>
          <w:highlight w:val="none"/>
          <w:u w:val="single"/>
        </w:rPr>
        <w:t xml:space="preserve">               </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pPr>
        <w:pStyle w:val="36"/>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r>
        <w:rPr>
          <w:rFonts w:hint="eastAsia" w:ascii="宋体" w:eastAsia="宋体"/>
          <w:color w:val="auto"/>
          <w:sz w:val="21"/>
          <w:szCs w:val="21"/>
          <w:highlight w:val="none"/>
          <w:u w:val="single"/>
        </w:rPr>
        <w:t xml:space="preserve">                              </w:t>
      </w:r>
    </w:p>
    <w:p>
      <w:pPr>
        <w:pStyle w:val="36"/>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ind w:firstLine="420" w:firstLineChars="200"/>
        <w:rPr>
          <w:rFonts w:ascii="宋体" w:hAnsi="宋体" w:eastAsia="宋体"/>
          <w:color w:val="auto"/>
          <w:sz w:val="21"/>
          <w:szCs w:val="21"/>
          <w:highlight w:val="none"/>
        </w:rPr>
      </w:pPr>
    </w:p>
    <w:p>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注：法定代表人身份证明书需附法人代表身份证复印件。</w:t>
      </w:r>
    </w:p>
    <w:tbl>
      <w:tblPr>
        <w:tblStyle w:val="31"/>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Ex>
        <w:trPr>
          <w:trHeight w:val="2517" w:hRule="atLeast"/>
          <w:jc w:val="center"/>
        </w:trPr>
        <w:tc>
          <w:tcPr>
            <w:tcW w:w="4182" w:type="dxa"/>
            <w:vAlign w:val="center"/>
          </w:tcPr>
          <w:p>
            <w:pPr>
              <w:pStyle w:val="36"/>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pPr>
              <w:pStyle w:val="36"/>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rPr>
          <w:color w:val="auto"/>
          <w:highlight w:val="none"/>
        </w:rPr>
      </w:pPr>
    </w:p>
    <w:p>
      <w:pPr>
        <w:adjustRightInd/>
        <w:snapToGrid/>
        <w:spacing w:line="276" w:lineRule="auto"/>
        <w:rPr>
          <w:rFonts w:ascii="楷体_GB2312" w:hAnsi="Cambria" w:eastAsia="楷体_GB2312"/>
          <w:b/>
          <w:bCs/>
          <w:color w:val="auto"/>
          <w:sz w:val="24"/>
          <w:szCs w:val="28"/>
          <w:highlight w:val="none"/>
        </w:rPr>
      </w:pPr>
      <w:r>
        <w:rPr>
          <w:rFonts w:ascii="楷体_GB2312" w:eastAsia="楷体_GB2312"/>
          <w:color w:val="auto"/>
          <w:sz w:val="24"/>
          <w:highlight w:val="none"/>
        </w:rPr>
        <w:br w:type="page"/>
      </w:r>
    </w:p>
    <w:p>
      <w:pPr>
        <w:pStyle w:val="5"/>
        <w:widowControl w:val="0"/>
        <w:tabs>
          <w:tab w:val="left" w:pos="8286"/>
        </w:tabs>
        <w:overflowPunct w:val="0"/>
        <w:spacing w:before="0" w:after="0" w:line="240" w:lineRule="auto"/>
        <w:rPr>
          <w:color w:val="auto"/>
          <w:highlight w:val="none"/>
        </w:rPr>
      </w:pPr>
      <w:bookmarkStart w:id="221" w:name="_Toc80603839"/>
      <w:bookmarkStart w:id="222" w:name="_Toc13693"/>
      <w:r>
        <w:rPr>
          <w:rFonts w:hint="eastAsia" w:ascii="宋体" w:hAnsi="宋体"/>
          <w:color w:val="auto"/>
          <w:sz w:val="21"/>
          <w:szCs w:val="21"/>
          <w:highlight w:val="none"/>
        </w:rPr>
        <w:t>附件6.法定代表人授权书格式</w:t>
      </w:r>
      <w:bookmarkEnd w:id="221"/>
      <w:bookmarkEnd w:id="222"/>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法定代表人授权书</w:t>
      </w:r>
    </w:p>
    <w:p>
      <w:pPr>
        <w:pStyle w:val="36"/>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致：三方诚信招标有限公司东莞分公司</w:t>
      </w:r>
    </w:p>
    <w:p>
      <w:pPr>
        <w:pStyle w:val="36"/>
        <w:spacing w:line="420" w:lineRule="atLeast"/>
        <w:ind w:firstLine="433"/>
        <w:rPr>
          <w:rFonts w:ascii="宋体" w:eastAsia="宋体"/>
          <w:color w:val="auto"/>
          <w:sz w:val="21"/>
          <w:szCs w:val="21"/>
          <w:highlight w:val="none"/>
        </w:rPr>
      </w:pPr>
    </w:p>
    <w:p>
      <w:pPr>
        <w:spacing w:after="0"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本授权书声明：注册于</w:t>
      </w:r>
      <w:r>
        <w:rPr>
          <w:rFonts w:hint="eastAsia" w:ascii="宋体" w:hAnsi="宋体" w:eastAsia="宋体" w:cs="Times New Roman"/>
          <w:color w:val="auto"/>
          <w:sz w:val="21"/>
          <w:szCs w:val="21"/>
          <w:highlight w:val="none"/>
          <w:u w:val="single"/>
        </w:rPr>
        <w:t>（国家或地区的名称）</w:t>
      </w:r>
      <w:r>
        <w:rPr>
          <w:rFonts w:hint="eastAsia" w:ascii="宋体" w:hAnsi="宋体" w:eastAsia="宋体" w:cs="Times New Roman"/>
          <w:color w:val="auto"/>
          <w:sz w:val="21"/>
          <w:szCs w:val="21"/>
          <w:highlight w:val="none"/>
        </w:rPr>
        <w:t>的</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（法定代表人姓名、职务）</w:t>
      </w:r>
      <w:r>
        <w:rPr>
          <w:rFonts w:hint="eastAsia" w:ascii="宋体" w:hAnsi="宋体" w:eastAsia="宋体" w:cs="Times New Roman"/>
          <w:color w:val="auto"/>
          <w:sz w:val="21"/>
          <w:szCs w:val="21"/>
          <w:highlight w:val="none"/>
        </w:rPr>
        <w:t>代表本单位授权</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（被授权人的姓名、职务）</w:t>
      </w:r>
      <w:r>
        <w:rPr>
          <w:rFonts w:hint="eastAsia" w:ascii="宋体" w:hAnsi="宋体" w:eastAsia="宋体" w:cs="Times New Roman"/>
          <w:color w:val="auto"/>
          <w:sz w:val="21"/>
          <w:szCs w:val="21"/>
          <w:highlight w:val="none"/>
        </w:rPr>
        <w:t>为本单位的合法代理人，就</w:t>
      </w:r>
      <w:r>
        <w:rPr>
          <w:rFonts w:hint="eastAsia" w:ascii="宋体" w:hAnsi="宋体" w:eastAsia="宋体" w:cs="Times New Roman"/>
          <w:color w:val="auto"/>
          <w:sz w:val="21"/>
          <w:szCs w:val="21"/>
          <w:highlight w:val="none"/>
          <w:u w:val="single"/>
        </w:rPr>
        <w:t>（项目名称）</w:t>
      </w:r>
      <w:r>
        <w:rPr>
          <w:rFonts w:hint="eastAsia" w:ascii="宋体" w:hAnsi="宋体" w:eastAsia="宋体" w:cs="Times New Roman"/>
          <w:color w:val="auto"/>
          <w:sz w:val="21"/>
          <w:szCs w:val="21"/>
          <w:highlight w:val="none"/>
        </w:rPr>
        <w:t>投标及参加项目谈判，以本单位名义处理一切与之有关的事务。</w:t>
      </w:r>
    </w:p>
    <w:p>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pPr>
        <w:pStyle w:val="36"/>
        <w:spacing w:line="500" w:lineRule="atLeast"/>
        <w:ind w:firstLine="3517" w:firstLineChars="1675"/>
        <w:rPr>
          <w:rFonts w:ascii="宋体" w:eastAsia="宋体"/>
          <w:color w:val="auto"/>
          <w:sz w:val="21"/>
          <w:szCs w:val="21"/>
          <w:highlight w:val="none"/>
        </w:rPr>
      </w:pP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36"/>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pPr>
        <w:pStyle w:val="36"/>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pPr>
        <w:pStyle w:val="36"/>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pPr>
        <w:pStyle w:val="36"/>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36"/>
        <w:spacing w:line="460" w:lineRule="exact"/>
        <w:ind w:firstLine="433"/>
        <w:rPr>
          <w:rFonts w:ascii="宋体" w:eastAsia="宋体"/>
          <w:color w:val="auto"/>
          <w:sz w:val="21"/>
          <w:szCs w:val="21"/>
          <w:highlight w:val="none"/>
        </w:rPr>
      </w:pPr>
    </w:p>
    <w:p>
      <w:pPr>
        <w:ind w:firstLine="420" w:firstLineChars="200"/>
        <w:rPr>
          <w:rFonts w:eastAsia="宋体"/>
          <w:color w:val="auto"/>
          <w:highlight w:val="none"/>
        </w:rPr>
      </w:pPr>
      <w:r>
        <w:rPr>
          <w:rFonts w:hint="eastAsia" w:ascii="宋体" w:hAnsi="宋体" w:eastAsia="宋体"/>
          <w:color w:val="auto"/>
          <w:sz w:val="21"/>
          <w:szCs w:val="21"/>
          <w:highlight w:val="none"/>
        </w:rPr>
        <w:t>须附：被授权人身份证复印件。</w:t>
      </w:r>
    </w:p>
    <w:tbl>
      <w:tblPr>
        <w:tblStyle w:val="31"/>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Ex>
        <w:trPr>
          <w:trHeight w:val="2661" w:hRule="atLeast"/>
          <w:jc w:val="center"/>
        </w:trPr>
        <w:tc>
          <w:tcPr>
            <w:tcW w:w="4232" w:type="dxa"/>
            <w:vAlign w:val="center"/>
          </w:tcPr>
          <w:p>
            <w:pPr>
              <w:pStyle w:val="36"/>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pPr>
              <w:pStyle w:val="36"/>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adjustRightInd/>
        <w:snapToGrid/>
        <w:spacing w:line="276" w:lineRule="auto"/>
        <w:rPr>
          <w:color w:val="auto"/>
          <w:highlight w:val="none"/>
        </w:rPr>
      </w:pPr>
      <w:bookmarkStart w:id="223" w:name="_Toc22486"/>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24" w:name="_Toc22546"/>
      <w:bookmarkStart w:id="225" w:name="_Toc80603840"/>
      <w:r>
        <w:rPr>
          <w:rFonts w:hint="eastAsia" w:ascii="宋体" w:hAnsi="宋体"/>
          <w:color w:val="auto"/>
          <w:sz w:val="21"/>
          <w:szCs w:val="21"/>
          <w:highlight w:val="none"/>
        </w:rPr>
        <w:t>附件7.资格申明</w:t>
      </w:r>
      <w:bookmarkEnd w:id="224"/>
      <w:bookmarkEnd w:id="225"/>
    </w:p>
    <w:p>
      <w:pPr>
        <w:jc w:val="center"/>
        <w:rPr>
          <w:rFonts w:ascii="黑体" w:eastAsia="黑体"/>
          <w:color w:val="auto"/>
          <w:sz w:val="28"/>
          <w:szCs w:val="28"/>
          <w:highlight w:val="none"/>
        </w:rPr>
      </w:pPr>
      <w:r>
        <w:rPr>
          <w:rFonts w:hint="eastAsia" w:ascii="黑体" w:eastAsia="黑体"/>
          <w:color w:val="auto"/>
          <w:sz w:val="28"/>
          <w:szCs w:val="28"/>
          <w:highlight w:val="none"/>
        </w:rPr>
        <w:t>资格申明</w:t>
      </w:r>
    </w:p>
    <w:p>
      <w:pPr>
        <w:pStyle w:val="36"/>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三方诚信招标有限公司东莞分公司：</w:t>
      </w:r>
    </w:p>
    <w:p>
      <w:pPr>
        <w:spacing w:after="0" w:line="360" w:lineRule="auto"/>
        <w:ind w:firstLine="420" w:firstLineChars="200"/>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ascii="宋体" w:hAnsi="宋体" w:eastAsia="宋体"/>
          <w:color w:val="auto"/>
          <w:sz w:val="21"/>
          <w:szCs w:val="21"/>
          <w:highlight w:val="none"/>
        </w:rPr>
        <w:t>投标邀请，参与投标，提供用户需求书中规定的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，并按招标文件要求提交所附资格文件且声明和保证如下：</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一、我方具备投标人邀请中所要求得资格条件，已清楚招标文件所有要求及有关规定；并承诺参加本次政府采购活动中，如有违法、违规、弄虚作假行为，所造成的损失、不良后果及法律责任，一律由我方承担；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二、</w:t>
      </w:r>
      <w:r>
        <w:rPr>
          <w:rFonts w:ascii="宋体" w:hAnsi="宋体" w:eastAsia="宋体"/>
          <w:color w:val="auto"/>
          <w:sz w:val="21"/>
          <w:szCs w:val="21"/>
          <w:highlight w:val="none"/>
        </w:rPr>
        <w:t>我方依法注册，在法律上、财务上和运作上完全独立于（采购人名称）（采购人）及</w:t>
      </w:r>
      <w:r>
        <w:rPr>
          <w:rFonts w:hint="eastAsia" w:ascii="宋体" w:hAnsi="宋体" w:eastAsia="宋体"/>
          <w:color w:val="auto"/>
          <w:sz w:val="21"/>
          <w:szCs w:val="21"/>
          <w:highlight w:val="none"/>
        </w:rPr>
        <w:t>三方诚信招标有限公司东莞分公司</w:t>
      </w:r>
      <w:r>
        <w:rPr>
          <w:rFonts w:ascii="宋体" w:hAnsi="宋体" w:eastAsia="宋体"/>
          <w:color w:val="auto"/>
          <w:sz w:val="21"/>
          <w:szCs w:val="21"/>
          <w:highlight w:val="none"/>
        </w:rPr>
        <w:t>（采购代理机构）</w:t>
      </w:r>
      <w:r>
        <w:rPr>
          <w:rFonts w:hint="eastAsia" w:ascii="宋体" w:hAnsi="宋体" w:eastAsia="宋体"/>
          <w:color w:val="auto"/>
          <w:sz w:val="21"/>
          <w:szCs w:val="21"/>
          <w:highlight w:val="none"/>
        </w:rPr>
        <w:t>。</w:t>
      </w:r>
    </w:p>
    <w:p>
      <w:pPr>
        <w:pStyle w:val="36"/>
        <w:spacing w:line="500" w:lineRule="atLeast"/>
        <w:ind w:firstLine="3517" w:firstLineChars="1675"/>
        <w:rPr>
          <w:rFonts w:ascii="宋体" w:eastAsia="宋体"/>
          <w:color w:val="auto"/>
          <w:sz w:val="21"/>
          <w:szCs w:val="21"/>
          <w:highlight w:val="none"/>
        </w:rPr>
      </w:pPr>
    </w:p>
    <w:p>
      <w:pPr>
        <w:pStyle w:val="36"/>
        <w:spacing w:line="500" w:lineRule="atLeast"/>
        <w:ind w:firstLine="3517" w:firstLineChars="1675"/>
        <w:rPr>
          <w:rFonts w:ascii="宋体" w:eastAsia="宋体"/>
          <w:color w:val="auto"/>
          <w:sz w:val="21"/>
          <w:szCs w:val="21"/>
          <w:highlight w:val="none"/>
        </w:rPr>
      </w:pPr>
    </w:p>
    <w:p>
      <w:pPr>
        <w:pStyle w:val="36"/>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36"/>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 xml:space="preserve">                        </w:t>
      </w:r>
    </w:p>
    <w:p>
      <w:pPr>
        <w:pStyle w:val="36"/>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36"/>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26" w:name="_Toc9656"/>
      <w:bookmarkStart w:id="227" w:name="_Toc80603841"/>
      <w:r>
        <w:rPr>
          <w:rFonts w:hint="eastAsia" w:ascii="宋体" w:hAnsi="宋体"/>
          <w:color w:val="auto"/>
          <w:sz w:val="21"/>
          <w:szCs w:val="21"/>
          <w:highlight w:val="none"/>
        </w:rPr>
        <w:t>附件8.营业执照</w:t>
      </w:r>
      <w:bookmarkEnd w:id="226"/>
      <w:bookmarkEnd w:id="227"/>
    </w:p>
    <w:p>
      <w:pPr>
        <w:jc w:val="center"/>
        <w:rPr>
          <w:rFonts w:ascii="黑体" w:eastAsia="黑体"/>
          <w:color w:val="auto"/>
          <w:sz w:val="28"/>
          <w:szCs w:val="28"/>
          <w:highlight w:val="none"/>
        </w:rPr>
      </w:pPr>
      <w:bookmarkStart w:id="228" w:name="_Toc5919"/>
      <w:bookmarkStart w:id="229" w:name="_Toc24210"/>
      <w:bookmarkStart w:id="230" w:name="_Toc4926"/>
      <w:bookmarkStart w:id="231" w:name="_Toc17470"/>
      <w:bookmarkStart w:id="232" w:name="_Toc1511"/>
      <w:r>
        <w:rPr>
          <w:rFonts w:hint="eastAsia" w:ascii="黑体" w:eastAsia="黑体"/>
          <w:color w:val="auto"/>
          <w:sz w:val="28"/>
          <w:szCs w:val="28"/>
          <w:highlight w:val="none"/>
        </w:rPr>
        <w:t>营业执照</w:t>
      </w:r>
      <w:bookmarkEnd w:id="228"/>
      <w:bookmarkEnd w:id="229"/>
      <w:bookmarkEnd w:id="230"/>
      <w:bookmarkEnd w:id="231"/>
      <w:bookmarkEnd w:id="232"/>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33" w:name="_Toc80603842"/>
      <w:bookmarkStart w:id="234" w:name="_Toc9416"/>
      <w:r>
        <w:rPr>
          <w:rFonts w:hint="eastAsia" w:ascii="宋体" w:hAnsi="宋体"/>
          <w:color w:val="auto"/>
          <w:sz w:val="21"/>
          <w:szCs w:val="21"/>
          <w:highlight w:val="none"/>
        </w:rPr>
        <w:t>附件9.相关资质证明文件</w:t>
      </w:r>
      <w:bookmarkEnd w:id="233"/>
      <w:bookmarkEnd w:id="234"/>
    </w:p>
    <w:p>
      <w:pPr>
        <w:rPr>
          <w:color w:val="auto"/>
          <w:highlight w:val="none"/>
        </w:rPr>
      </w:pPr>
    </w:p>
    <w:p>
      <w:pPr>
        <w:jc w:val="center"/>
        <w:rPr>
          <w:rFonts w:ascii="黑体" w:eastAsia="黑体"/>
          <w:color w:val="auto"/>
          <w:sz w:val="28"/>
          <w:szCs w:val="28"/>
          <w:highlight w:val="none"/>
        </w:rPr>
      </w:pPr>
      <w:bookmarkStart w:id="235" w:name="_Toc16698"/>
      <w:bookmarkStart w:id="236" w:name="_Toc9592"/>
      <w:bookmarkStart w:id="237" w:name="_Toc13458"/>
      <w:bookmarkStart w:id="238" w:name="_Toc30307"/>
      <w:bookmarkStart w:id="239" w:name="_Toc16233"/>
      <w:r>
        <w:rPr>
          <w:rFonts w:hint="eastAsia" w:ascii="黑体" w:eastAsia="黑体"/>
          <w:color w:val="auto"/>
          <w:sz w:val="28"/>
          <w:szCs w:val="28"/>
          <w:highlight w:val="none"/>
        </w:rPr>
        <w:t>相关资质证明文件</w:t>
      </w:r>
      <w:bookmarkEnd w:id="223"/>
      <w:bookmarkEnd w:id="235"/>
      <w:bookmarkEnd w:id="236"/>
      <w:bookmarkEnd w:id="237"/>
      <w:bookmarkEnd w:id="238"/>
      <w:bookmarkEnd w:id="239"/>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40" w:name="_Toc80603843"/>
      <w:bookmarkStart w:id="241" w:name="_Toc5888"/>
      <w:r>
        <w:rPr>
          <w:rFonts w:hint="eastAsia" w:ascii="宋体" w:hAnsi="宋体"/>
          <w:color w:val="auto"/>
          <w:sz w:val="21"/>
          <w:szCs w:val="21"/>
          <w:highlight w:val="none"/>
        </w:rPr>
        <w:t>附件10. 商务条款偏离表格式</w:t>
      </w:r>
      <w:bookmarkEnd w:id="240"/>
      <w:bookmarkEnd w:id="241"/>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商务条款偏离表</w:t>
      </w:r>
    </w:p>
    <w:tbl>
      <w:tblPr>
        <w:tblStyle w:val="31"/>
        <w:tblW w:w="84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62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6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587"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133"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73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p>
    <w:p>
      <w:pPr>
        <w:ind w:left="718" w:hanging="718" w:hangingChars="342"/>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1、投标人应对照招标文件商务要求，说明已对招标文件的商务内容做出了实质性的响应。</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2、商务条款包括但不限于合格投标人资格、付款方式、履约保证金、完工期、售后服务、检验及验收、保险、争端的解决等要求。</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3、投标人若未填写完整则视为完全响应招标文件的商务要求，因此对投标人投标产生负面影响的，投标人自行承担后果。</w:t>
      </w: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42" w:name="_Toc15315"/>
      <w:bookmarkStart w:id="243" w:name="_Toc80603844"/>
      <w:r>
        <w:rPr>
          <w:rFonts w:hint="eastAsia" w:ascii="宋体" w:hAnsi="宋体"/>
          <w:color w:val="auto"/>
          <w:sz w:val="21"/>
          <w:szCs w:val="21"/>
          <w:highlight w:val="none"/>
        </w:rPr>
        <w:t>附件11. 技术规格偏离表格式</w:t>
      </w:r>
      <w:bookmarkEnd w:id="242"/>
      <w:bookmarkEnd w:id="243"/>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技术规格偏离表</w:t>
      </w:r>
    </w:p>
    <w:tbl>
      <w:tblPr>
        <w:tblStyle w:val="31"/>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902"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7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62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23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544"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ind w:firstLine="178" w:firstLineChars="85"/>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1、偏离项中填写“正”、“负”或“无”，说明项中填写原因。</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3、投标人若未填写完整则视为完全响应招标文件的技术要求，因此对投标人投标产生负面影响的，投标人自行承担后果。</w:t>
      </w:r>
    </w:p>
    <w:p>
      <w:pPr>
        <w:spacing w:after="0" w:line="360" w:lineRule="auto"/>
        <w:rPr>
          <w:rFonts w:ascii="宋体" w:hAnsi="宋体" w:eastAsia="宋体"/>
          <w:color w:val="auto"/>
          <w:sz w:val="21"/>
          <w:szCs w:val="21"/>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rPr>
          <w:rFonts w:ascii="宋体" w:hAnsi="宋体" w:eastAsia="宋体"/>
          <w:color w:val="auto"/>
          <w:sz w:val="21"/>
          <w:szCs w:val="21"/>
          <w:highlight w:val="none"/>
        </w:rPr>
      </w:pPr>
      <w:bookmarkStart w:id="244" w:name="_Toc17691"/>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s="Times New Roman"/>
          <w:b w:val="0"/>
          <w:bCs w:val="0"/>
          <w:color w:val="auto"/>
          <w:sz w:val="32"/>
          <w:szCs w:val="32"/>
          <w:highlight w:val="none"/>
        </w:rPr>
      </w:pPr>
      <w:bookmarkStart w:id="245" w:name="_Toc15830"/>
      <w:bookmarkStart w:id="246" w:name="_Toc80603845"/>
      <w:r>
        <w:rPr>
          <w:rFonts w:hint="eastAsia" w:ascii="宋体" w:hAnsi="宋体"/>
          <w:color w:val="auto"/>
          <w:sz w:val="21"/>
          <w:szCs w:val="21"/>
          <w:highlight w:val="none"/>
        </w:rPr>
        <w:t>附件12.重要技术参数（▲）响应表</w:t>
      </w:r>
      <w:bookmarkEnd w:id="244"/>
      <w:bookmarkEnd w:id="245"/>
      <w:bookmarkEnd w:id="246"/>
    </w:p>
    <w:p>
      <w:pPr>
        <w:jc w:val="center"/>
        <w:rPr>
          <w:rFonts w:ascii="黑体" w:eastAsia="黑体"/>
          <w:color w:val="auto"/>
          <w:sz w:val="28"/>
          <w:szCs w:val="28"/>
          <w:highlight w:val="none"/>
        </w:rPr>
      </w:pPr>
      <w:bookmarkStart w:id="247" w:name="_Toc26078"/>
      <w:bookmarkStart w:id="248" w:name="_Toc18668"/>
      <w:bookmarkStart w:id="249" w:name="_Toc4827"/>
      <w:bookmarkStart w:id="250" w:name="_Toc6080"/>
      <w:bookmarkStart w:id="251" w:name="_Toc1274"/>
      <w:bookmarkStart w:id="252" w:name="_Toc4464"/>
    </w:p>
    <w:p>
      <w:pPr>
        <w:jc w:val="center"/>
        <w:rPr>
          <w:rFonts w:ascii="黑体" w:eastAsia="黑体"/>
          <w:color w:val="auto"/>
          <w:sz w:val="28"/>
          <w:szCs w:val="28"/>
          <w:highlight w:val="none"/>
        </w:rPr>
      </w:pPr>
      <w:r>
        <w:rPr>
          <w:rFonts w:hint="eastAsia" w:ascii="黑体" w:eastAsia="黑体"/>
          <w:color w:val="auto"/>
          <w:sz w:val="28"/>
          <w:szCs w:val="28"/>
          <w:highlight w:val="none"/>
        </w:rPr>
        <w:t>重要技术参数（▲）响应表</w:t>
      </w:r>
      <w:bookmarkEnd w:id="247"/>
      <w:bookmarkEnd w:id="248"/>
      <w:bookmarkEnd w:id="249"/>
      <w:bookmarkEnd w:id="250"/>
      <w:bookmarkEnd w:id="251"/>
      <w:bookmarkEnd w:id="252"/>
    </w:p>
    <w:tbl>
      <w:tblPr>
        <w:tblStyle w:val="32"/>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bookmarkStart w:id="253" w:name="_Toc27090"/>
            <w:bookmarkStart w:id="254" w:name="_Toc2700"/>
            <w:bookmarkStart w:id="255" w:name="_Toc12049"/>
            <w:bookmarkStart w:id="256" w:name="_Toc15903"/>
            <w:bookmarkStart w:id="257" w:name="_Toc22448"/>
            <w:bookmarkStart w:id="258" w:name="_Toc16872"/>
            <w:bookmarkStart w:id="259" w:name="_Toc21739"/>
            <w:bookmarkStart w:id="260" w:name="_Toc14815"/>
            <w:bookmarkStart w:id="261" w:name="_Toc80603846"/>
            <w:bookmarkStart w:id="262" w:name="_Toc32136"/>
            <w:bookmarkStart w:id="263" w:name="_Toc10045"/>
            <w:r>
              <w:rPr>
                <w:rFonts w:hint="eastAsia" w:ascii="宋体" w:hAnsi="宋体" w:cs="Times New Roman"/>
                <w:color w:val="auto"/>
                <w:sz w:val="21"/>
                <w:szCs w:val="21"/>
                <w:highlight w:val="none"/>
              </w:rPr>
              <w:t>技术参数（▲）</w:t>
            </w:r>
            <w:bookmarkEnd w:id="253"/>
            <w:bookmarkEnd w:id="254"/>
            <w:bookmarkEnd w:id="255"/>
            <w:bookmarkEnd w:id="256"/>
            <w:bookmarkEnd w:id="257"/>
            <w:bookmarkEnd w:id="258"/>
            <w:bookmarkEnd w:id="259"/>
            <w:bookmarkEnd w:id="260"/>
            <w:bookmarkEnd w:id="261"/>
            <w:bookmarkEnd w:id="262"/>
            <w:bookmarkEnd w:id="263"/>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bookmarkStart w:id="264" w:name="_Toc24662"/>
            <w:bookmarkStart w:id="265" w:name="_Toc19251"/>
            <w:bookmarkStart w:id="266" w:name="_Toc7333"/>
            <w:bookmarkStart w:id="267" w:name="_Toc8490"/>
            <w:bookmarkStart w:id="268" w:name="_Toc32531"/>
            <w:bookmarkStart w:id="269" w:name="_Toc21809"/>
            <w:bookmarkStart w:id="270" w:name="_Toc8312"/>
            <w:bookmarkStart w:id="271" w:name="_Toc27442"/>
            <w:bookmarkStart w:id="272" w:name="_Toc22879"/>
            <w:bookmarkStart w:id="273" w:name="_Toc80603847"/>
            <w:bookmarkStart w:id="274" w:name="_Toc26542"/>
            <w:r>
              <w:rPr>
                <w:rFonts w:hint="eastAsia" w:ascii="宋体" w:hAnsi="宋体" w:cs="Times New Roman"/>
                <w:color w:val="auto"/>
                <w:sz w:val="21"/>
                <w:szCs w:val="21"/>
                <w:highlight w:val="none"/>
              </w:rPr>
              <w:t>是否响应</w:t>
            </w:r>
            <w:bookmarkEnd w:id="264"/>
            <w:bookmarkEnd w:id="265"/>
            <w:bookmarkEnd w:id="266"/>
            <w:bookmarkEnd w:id="267"/>
            <w:bookmarkEnd w:id="268"/>
            <w:bookmarkEnd w:id="269"/>
            <w:bookmarkEnd w:id="270"/>
            <w:bookmarkEnd w:id="271"/>
            <w:bookmarkEnd w:id="272"/>
            <w:bookmarkEnd w:id="273"/>
            <w:bookmarkEnd w:id="274"/>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bookmarkStart w:id="275" w:name="_Toc1330"/>
            <w:bookmarkStart w:id="276" w:name="_Toc20139"/>
            <w:bookmarkStart w:id="277" w:name="_Toc5563"/>
            <w:bookmarkStart w:id="278" w:name="_Toc17642"/>
            <w:bookmarkStart w:id="279" w:name="_Toc5992"/>
            <w:bookmarkStart w:id="280" w:name="_Toc20820"/>
            <w:bookmarkStart w:id="281" w:name="_Toc3701"/>
            <w:bookmarkStart w:id="282" w:name="_Toc27185"/>
            <w:bookmarkStart w:id="283" w:name="_Toc80603848"/>
            <w:bookmarkStart w:id="284" w:name="_Toc32313"/>
            <w:bookmarkStart w:id="285" w:name="_Toc17296"/>
            <w:r>
              <w:rPr>
                <w:rFonts w:hint="eastAsia" w:ascii="宋体" w:hAnsi="宋体" w:cs="Times New Roman"/>
                <w:color w:val="auto"/>
                <w:sz w:val="21"/>
                <w:szCs w:val="21"/>
                <w:highlight w:val="none"/>
              </w:rPr>
              <w:t>页码范围</w:t>
            </w:r>
            <w:bookmarkEnd w:id="275"/>
            <w:bookmarkEnd w:id="276"/>
            <w:bookmarkEnd w:id="277"/>
            <w:bookmarkEnd w:id="278"/>
            <w:bookmarkEnd w:id="279"/>
            <w:bookmarkEnd w:id="280"/>
            <w:bookmarkEnd w:id="281"/>
            <w:bookmarkEnd w:id="282"/>
            <w:bookmarkEnd w:id="283"/>
            <w:bookmarkEnd w:id="284"/>
            <w:bookmarkEnd w:id="2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2"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c>
          <w:tcPr>
            <w:tcW w:w="2840" w:type="dxa"/>
            <w:vAlign w:val="center"/>
          </w:tcPr>
          <w:p>
            <w:pPr>
              <w:pStyle w:val="5"/>
              <w:widowControl w:val="0"/>
              <w:tabs>
                <w:tab w:val="left" w:pos="8286"/>
              </w:tabs>
              <w:overflowPunct w:val="0"/>
              <w:spacing w:before="0" w:after="0" w:line="240" w:lineRule="auto"/>
              <w:jc w:val="center"/>
              <w:rPr>
                <w:rFonts w:ascii="宋体" w:hAnsi="宋体" w:cs="Times New Roman"/>
                <w:color w:val="auto"/>
                <w:sz w:val="21"/>
                <w:szCs w:val="21"/>
                <w:highlight w:val="none"/>
              </w:rPr>
            </w:pPr>
          </w:p>
        </w:tc>
      </w:tr>
    </w:tbl>
    <w:p>
      <w:pPr>
        <w:pStyle w:val="35"/>
        <w:spacing w:after="0" w:line="360" w:lineRule="auto"/>
        <w:rPr>
          <w:rFonts w:ascii="宋体" w:hAnsi="宋体" w:eastAsia="宋体"/>
          <w:color w:val="auto"/>
          <w:sz w:val="21"/>
          <w:szCs w:val="21"/>
          <w:highlight w:val="none"/>
        </w:rPr>
      </w:pPr>
    </w:p>
    <w:p>
      <w:pPr>
        <w:pStyle w:val="35"/>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35"/>
        <w:numPr>
          <w:ilvl w:val="0"/>
          <w:numId w:val="14"/>
        </w:numPr>
        <w:spacing w:after="0" w:line="360" w:lineRule="auto"/>
        <w:ind w:firstLine="420"/>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35"/>
        <w:numPr>
          <w:ilvl w:val="0"/>
          <w:numId w:val="14"/>
        </w:numPr>
        <w:spacing w:after="0" w:line="360" w:lineRule="auto"/>
        <w:ind w:firstLine="422"/>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投标人可按项目的实际需要提供本表格。招标文件内未涉及▲参数的，此表可以不用提供。</w:t>
      </w:r>
    </w:p>
    <w:p>
      <w:pPr>
        <w:pStyle w:val="35"/>
        <w:numPr>
          <w:ilvl w:val="0"/>
          <w:numId w:val="14"/>
        </w:numPr>
        <w:spacing w:after="0" w:line="360" w:lineRule="auto"/>
        <w:ind w:firstLine="420"/>
        <w:rPr>
          <w:rFonts w:ascii="宋体" w:hAnsi="宋体" w:eastAsia="宋体"/>
          <w:color w:val="auto"/>
          <w:sz w:val="21"/>
          <w:szCs w:val="21"/>
          <w:highlight w:val="none"/>
        </w:rPr>
      </w:pPr>
      <w:r>
        <w:rPr>
          <w:rFonts w:hint="eastAsia" w:ascii="宋体" w:hAnsi="宋体" w:eastAsia="宋体"/>
          <w:color w:val="auto"/>
          <w:sz w:val="21"/>
          <w:szCs w:val="21"/>
          <w:highlight w:val="none"/>
        </w:rPr>
        <w:t>响应表所列出的材料应为真实准确的，若文件需要，应提供相关证明材料复印件加盖公章。请勿提供虚假、过期材料，否则将依据相关规定严肃处理</w:t>
      </w:r>
    </w:p>
    <w:p>
      <w:pPr>
        <w:pStyle w:val="35"/>
        <w:numPr>
          <w:ilvl w:val="0"/>
          <w:numId w:val="14"/>
        </w:numPr>
        <w:spacing w:after="0" w:line="360" w:lineRule="auto"/>
        <w:ind w:firstLine="420"/>
        <w:rPr>
          <w:rFonts w:ascii="宋体" w:hAnsi="宋体" w:eastAsia="宋体"/>
          <w:color w:val="auto"/>
          <w:sz w:val="21"/>
          <w:szCs w:val="21"/>
          <w:highlight w:val="none"/>
        </w:rPr>
      </w:pPr>
      <w:r>
        <w:rPr>
          <w:rFonts w:hint="eastAsia" w:ascii="宋体" w:hAnsi="宋体" w:eastAsia="宋体"/>
          <w:color w:val="auto"/>
          <w:sz w:val="21"/>
          <w:szCs w:val="21"/>
          <w:highlight w:val="none"/>
        </w:rPr>
        <w:t>若招标文件有需求，投标文件未提供重要技术参数（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）响应表对投标人投标产生负面影响的，投标人自行承担后果。</w:t>
      </w:r>
    </w:p>
    <w:p>
      <w:pPr>
        <w:pStyle w:val="35"/>
        <w:numPr>
          <w:ilvl w:val="0"/>
          <w:numId w:val="14"/>
        </w:numPr>
        <w:spacing w:after="0"/>
        <w:ind w:firstLine="42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30"/>
          <w:szCs w:val="30"/>
          <w:highlight w:val="none"/>
        </w:rPr>
      </w:pPr>
      <w:bookmarkStart w:id="286" w:name="_Toc80603849"/>
      <w:bookmarkStart w:id="287" w:name="_Toc2455"/>
      <w:r>
        <w:rPr>
          <w:rFonts w:hint="eastAsia" w:ascii="宋体" w:hAnsi="宋体"/>
          <w:color w:val="auto"/>
          <w:sz w:val="21"/>
          <w:szCs w:val="21"/>
          <w:highlight w:val="none"/>
        </w:rPr>
        <w:t>附件13.业绩表</w:t>
      </w:r>
      <w:bookmarkEnd w:id="286"/>
      <w:bookmarkEnd w:id="287"/>
    </w:p>
    <w:p>
      <w:pPr>
        <w:jc w:val="center"/>
        <w:rPr>
          <w:rFonts w:ascii="黑体" w:eastAsia="黑体"/>
          <w:color w:val="auto"/>
          <w:sz w:val="28"/>
          <w:szCs w:val="28"/>
          <w:highlight w:val="none"/>
        </w:rPr>
      </w:pPr>
      <w:r>
        <w:rPr>
          <w:rFonts w:hint="eastAsia" w:ascii="黑体" w:eastAsia="黑体"/>
          <w:color w:val="auto"/>
          <w:sz w:val="28"/>
          <w:szCs w:val="28"/>
          <w:highlight w:val="none"/>
        </w:rPr>
        <w:t>业绩表</w:t>
      </w:r>
    </w:p>
    <w:tbl>
      <w:tblPr>
        <w:tblStyle w:val="32"/>
        <w:tblW w:w="85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923"/>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05"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1706"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项目金额</w:t>
            </w:r>
          </w:p>
        </w:tc>
        <w:tc>
          <w:tcPr>
            <w:tcW w:w="1923"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项目合同签订时间</w:t>
            </w:r>
          </w:p>
        </w:tc>
        <w:tc>
          <w:tcPr>
            <w:tcW w:w="1479"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ascii="宋体" w:hAnsi="宋体" w:eastAsia="宋体"/>
                <w:color w:val="auto"/>
                <w:sz w:val="21"/>
                <w:szCs w:val="21"/>
                <w:highlight w:val="none"/>
              </w:rPr>
            </w:pPr>
          </w:p>
        </w:tc>
        <w:tc>
          <w:tcPr>
            <w:tcW w:w="1705" w:type="dxa"/>
            <w:vAlign w:val="center"/>
          </w:tcPr>
          <w:p>
            <w:pPr>
              <w:adjustRightInd/>
              <w:snapToGrid/>
              <w:spacing w:after="0"/>
              <w:jc w:val="center"/>
              <w:rPr>
                <w:rFonts w:ascii="宋体" w:hAnsi="宋体" w:eastAsia="宋体"/>
                <w:color w:val="auto"/>
                <w:sz w:val="21"/>
                <w:szCs w:val="21"/>
                <w:highlight w:val="none"/>
              </w:rPr>
            </w:pPr>
          </w:p>
        </w:tc>
        <w:tc>
          <w:tcPr>
            <w:tcW w:w="1706" w:type="dxa"/>
            <w:vAlign w:val="center"/>
          </w:tcPr>
          <w:p>
            <w:pPr>
              <w:adjustRightInd/>
              <w:snapToGrid/>
              <w:spacing w:after="0"/>
              <w:jc w:val="center"/>
              <w:rPr>
                <w:rFonts w:ascii="宋体" w:hAnsi="宋体" w:eastAsia="宋体"/>
                <w:color w:val="auto"/>
                <w:sz w:val="21"/>
                <w:szCs w:val="21"/>
                <w:highlight w:val="none"/>
              </w:rPr>
            </w:pPr>
          </w:p>
        </w:tc>
        <w:tc>
          <w:tcPr>
            <w:tcW w:w="1923" w:type="dxa"/>
            <w:vAlign w:val="center"/>
          </w:tcPr>
          <w:p>
            <w:pPr>
              <w:adjustRightInd/>
              <w:snapToGrid/>
              <w:spacing w:after="0"/>
              <w:jc w:val="center"/>
              <w:rPr>
                <w:rFonts w:ascii="宋体" w:hAnsi="宋体" w:eastAsia="宋体"/>
                <w:color w:val="auto"/>
                <w:sz w:val="21"/>
                <w:szCs w:val="21"/>
                <w:highlight w:val="none"/>
              </w:rPr>
            </w:pPr>
          </w:p>
        </w:tc>
        <w:tc>
          <w:tcPr>
            <w:tcW w:w="1479" w:type="dxa"/>
            <w:vAlign w:val="center"/>
          </w:tcPr>
          <w:p>
            <w:pPr>
              <w:adjustRightInd/>
              <w:snapToGrid/>
              <w:spacing w:after="0"/>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top"/>
          </w:tcPr>
          <w:p>
            <w:pPr>
              <w:adjustRightInd/>
              <w:snapToGrid/>
              <w:spacing w:after="0"/>
              <w:rPr>
                <w:rFonts w:ascii="宋体" w:hAnsi="宋体" w:eastAsia="宋体"/>
                <w:color w:val="auto"/>
                <w:sz w:val="21"/>
                <w:szCs w:val="21"/>
                <w:highlight w:val="none"/>
              </w:rPr>
            </w:pPr>
          </w:p>
        </w:tc>
        <w:tc>
          <w:tcPr>
            <w:tcW w:w="1705" w:type="dxa"/>
            <w:vAlign w:val="top"/>
          </w:tcPr>
          <w:p>
            <w:pPr>
              <w:adjustRightInd/>
              <w:snapToGrid/>
              <w:spacing w:after="0"/>
              <w:rPr>
                <w:rFonts w:ascii="宋体" w:hAnsi="宋体" w:eastAsia="宋体"/>
                <w:color w:val="auto"/>
                <w:sz w:val="21"/>
                <w:szCs w:val="21"/>
                <w:highlight w:val="none"/>
              </w:rPr>
            </w:pPr>
          </w:p>
        </w:tc>
        <w:tc>
          <w:tcPr>
            <w:tcW w:w="1706" w:type="dxa"/>
            <w:vAlign w:val="top"/>
          </w:tcPr>
          <w:p>
            <w:pPr>
              <w:adjustRightInd/>
              <w:snapToGrid/>
              <w:spacing w:after="0"/>
              <w:rPr>
                <w:rFonts w:ascii="宋体" w:hAnsi="宋体" w:eastAsia="宋体"/>
                <w:color w:val="auto"/>
                <w:sz w:val="21"/>
                <w:szCs w:val="21"/>
                <w:highlight w:val="none"/>
              </w:rPr>
            </w:pPr>
          </w:p>
        </w:tc>
        <w:tc>
          <w:tcPr>
            <w:tcW w:w="1923" w:type="dxa"/>
            <w:vAlign w:val="top"/>
          </w:tcPr>
          <w:p>
            <w:pPr>
              <w:adjustRightInd/>
              <w:snapToGrid/>
              <w:spacing w:after="0"/>
              <w:rPr>
                <w:rFonts w:ascii="宋体" w:hAnsi="宋体" w:eastAsia="宋体"/>
                <w:color w:val="auto"/>
                <w:sz w:val="21"/>
                <w:szCs w:val="21"/>
                <w:highlight w:val="none"/>
              </w:rPr>
            </w:pPr>
          </w:p>
        </w:tc>
        <w:tc>
          <w:tcPr>
            <w:tcW w:w="1479" w:type="dxa"/>
            <w:vAlign w:val="top"/>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top"/>
          </w:tcPr>
          <w:p>
            <w:pPr>
              <w:adjustRightInd/>
              <w:snapToGrid/>
              <w:spacing w:after="0"/>
              <w:rPr>
                <w:rFonts w:ascii="宋体" w:hAnsi="宋体" w:eastAsia="宋体"/>
                <w:color w:val="auto"/>
                <w:sz w:val="21"/>
                <w:szCs w:val="21"/>
                <w:highlight w:val="none"/>
              </w:rPr>
            </w:pPr>
          </w:p>
        </w:tc>
        <w:tc>
          <w:tcPr>
            <w:tcW w:w="1705" w:type="dxa"/>
            <w:vAlign w:val="top"/>
          </w:tcPr>
          <w:p>
            <w:pPr>
              <w:adjustRightInd/>
              <w:snapToGrid/>
              <w:spacing w:after="0"/>
              <w:rPr>
                <w:rFonts w:ascii="宋体" w:hAnsi="宋体" w:eastAsia="宋体"/>
                <w:color w:val="auto"/>
                <w:sz w:val="21"/>
                <w:szCs w:val="21"/>
                <w:highlight w:val="none"/>
              </w:rPr>
            </w:pPr>
          </w:p>
        </w:tc>
        <w:tc>
          <w:tcPr>
            <w:tcW w:w="1706" w:type="dxa"/>
            <w:vAlign w:val="top"/>
          </w:tcPr>
          <w:p>
            <w:pPr>
              <w:adjustRightInd/>
              <w:snapToGrid/>
              <w:spacing w:after="0"/>
              <w:rPr>
                <w:rFonts w:ascii="宋体" w:hAnsi="宋体" w:eastAsia="宋体"/>
                <w:color w:val="auto"/>
                <w:sz w:val="21"/>
                <w:szCs w:val="21"/>
                <w:highlight w:val="none"/>
              </w:rPr>
            </w:pPr>
          </w:p>
        </w:tc>
        <w:tc>
          <w:tcPr>
            <w:tcW w:w="1923" w:type="dxa"/>
            <w:vAlign w:val="top"/>
          </w:tcPr>
          <w:p>
            <w:pPr>
              <w:adjustRightInd/>
              <w:snapToGrid/>
              <w:spacing w:after="0"/>
              <w:rPr>
                <w:rFonts w:ascii="宋体" w:hAnsi="宋体" w:eastAsia="宋体"/>
                <w:color w:val="auto"/>
                <w:sz w:val="21"/>
                <w:szCs w:val="21"/>
                <w:highlight w:val="none"/>
              </w:rPr>
            </w:pPr>
          </w:p>
        </w:tc>
        <w:tc>
          <w:tcPr>
            <w:tcW w:w="1479" w:type="dxa"/>
            <w:vAlign w:val="top"/>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top"/>
          </w:tcPr>
          <w:p>
            <w:pPr>
              <w:adjustRightInd/>
              <w:snapToGrid/>
              <w:spacing w:after="0"/>
              <w:rPr>
                <w:rFonts w:ascii="宋体" w:hAnsi="宋体" w:eastAsia="宋体"/>
                <w:color w:val="auto"/>
                <w:sz w:val="21"/>
                <w:szCs w:val="21"/>
                <w:highlight w:val="none"/>
              </w:rPr>
            </w:pPr>
          </w:p>
        </w:tc>
        <w:tc>
          <w:tcPr>
            <w:tcW w:w="1705" w:type="dxa"/>
            <w:vAlign w:val="top"/>
          </w:tcPr>
          <w:p>
            <w:pPr>
              <w:adjustRightInd/>
              <w:snapToGrid/>
              <w:spacing w:after="0"/>
              <w:rPr>
                <w:rFonts w:ascii="宋体" w:hAnsi="宋体" w:eastAsia="宋体"/>
                <w:color w:val="auto"/>
                <w:sz w:val="21"/>
                <w:szCs w:val="21"/>
                <w:highlight w:val="none"/>
              </w:rPr>
            </w:pPr>
          </w:p>
        </w:tc>
        <w:tc>
          <w:tcPr>
            <w:tcW w:w="1706" w:type="dxa"/>
            <w:vAlign w:val="top"/>
          </w:tcPr>
          <w:p>
            <w:pPr>
              <w:adjustRightInd/>
              <w:snapToGrid/>
              <w:spacing w:after="0"/>
              <w:rPr>
                <w:rFonts w:ascii="宋体" w:hAnsi="宋体" w:eastAsia="宋体"/>
                <w:color w:val="auto"/>
                <w:sz w:val="21"/>
                <w:szCs w:val="21"/>
                <w:highlight w:val="none"/>
              </w:rPr>
            </w:pPr>
          </w:p>
        </w:tc>
        <w:tc>
          <w:tcPr>
            <w:tcW w:w="1923" w:type="dxa"/>
            <w:vAlign w:val="top"/>
          </w:tcPr>
          <w:p>
            <w:pPr>
              <w:adjustRightInd/>
              <w:snapToGrid/>
              <w:spacing w:after="0"/>
              <w:rPr>
                <w:rFonts w:ascii="宋体" w:hAnsi="宋体" w:eastAsia="宋体"/>
                <w:color w:val="auto"/>
                <w:sz w:val="21"/>
                <w:szCs w:val="21"/>
                <w:highlight w:val="none"/>
              </w:rPr>
            </w:pPr>
          </w:p>
        </w:tc>
        <w:tc>
          <w:tcPr>
            <w:tcW w:w="1479" w:type="dxa"/>
            <w:vAlign w:val="top"/>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top"/>
          </w:tcPr>
          <w:p>
            <w:pPr>
              <w:adjustRightInd/>
              <w:snapToGrid/>
              <w:spacing w:after="0"/>
              <w:rPr>
                <w:rFonts w:ascii="宋体" w:hAnsi="宋体" w:eastAsia="宋体"/>
                <w:color w:val="auto"/>
                <w:sz w:val="21"/>
                <w:szCs w:val="21"/>
                <w:highlight w:val="none"/>
              </w:rPr>
            </w:pPr>
          </w:p>
        </w:tc>
        <w:tc>
          <w:tcPr>
            <w:tcW w:w="1705" w:type="dxa"/>
            <w:vAlign w:val="top"/>
          </w:tcPr>
          <w:p>
            <w:pPr>
              <w:adjustRightInd/>
              <w:snapToGrid/>
              <w:spacing w:after="0"/>
              <w:rPr>
                <w:rFonts w:ascii="宋体" w:hAnsi="宋体" w:eastAsia="宋体"/>
                <w:color w:val="auto"/>
                <w:sz w:val="21"/>
                <w:szCs w:val="21"/>
                <w:highlight w:val="none"/>
              </w:rPr>
            </w:pPr>
          </w:p>
        </w:tc>
        <w:tc>
          <w:tcPr>
            <w:tcW w:w="1706" w:type="dxa"/>
            <w:vAlign w:val="top"/>
          </w:tcPr>
          <w:p>
            <w:pPr>
              <w:adjustRightInd/>
              <w:snapToGrid/>
              <w:spacing w:after="0"/>
              <w:rPr>
                <w:rFonts w:ascii="宋体" w:hAnsi="宋体" w:eastAsia="宋体"/>
                <w:color w:val="auto"/>
                <w:sz w:val="21"/>
                <w:szCs w:val="21"/>
                <w:highlight w:val="none"/>
              </w:rPr>
            </w:pPr>
          </w:p>
        </w:tc>
        <w:tc>
          <w:tcPr>
            <w:tcW w:w="1923" w:type="dxa"/>
            <w:vAlign w:val="top"/>
          </w:tcPr>
          <w:p>
            <w:pPr>
              <w:adjustRightInd/>
              <w:snapToGrid/>
              <w:spacing w:after="0"/>
              <w:rPr>
                <w:rFonts w:ascii="宋体" w:hAnsi="宋体" w:eastAsia="宋体"/>
                <w:color w:val="auto"/>
                <w:sz w:val="21"/>
                <w:szCs w:val="21"/>
                <w:highlight w:val="none"/>
              </w:rPr>
            </w:pPr>
          </w:p>
        </w:tc>
        <w:tc>
          <w:tcPr>
            <w:tcW w:w="1479" w:type="dxa"/>
            <w:vAlign w:val="top"/>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705" w:type="dxa"/>
            <w:vAlign w:val="top"/>
          </w:tcPr>
          <w:p>
            <w:pPr>
              <w:adjustRightInd/>
              <w:snapToGrid/>
              <w:spacing w:after="0"/>
              <w:rPr>
                <w:rFonts w:ascii="宋体" w:hAnsi="宋体" w:eastAsia="宋体"/>
                <w:color w:val="auto"/>
                <w:sz w:val="21"/>
                <w:szCs w:val="21"/>
                <w:highlight w:val="none"/>
              </w:rPr>
            </w:pPr>
          </w:p>
        </w:tc>
        <w:tc>
          <w:tcPr>
            <w:tcW w:w="1705" w:type="dxa"/>
            <w:vAlign w:val="top"/>
          </w:tcPr>
          <w:p>
            <w:pPr>
              <w:adjustRightInd/>
              <w:snapToGrid/>
              <w:spacing w:after="0"/>
              <w:rPr>
                <w:rFonts w:ascii="宋体" w:hAnsi="宋体" w:eastAsia="宋体"/>
                <w:color w:val="auto"/>
                <w:sz w:val="21"/>
                <w:szCs w:val="21"/>
                <w:highlight w:val="none"/>
              </w:rPr>
            </w:pPr>
          </w:p>
        </w:tc>
        <w:tc>
          <w:tcPr>
            <w:tcW w:w="1706" w:type="dxa"/>
            <w:vAlign w:val="top"/>
          </w:tcPr>
          <w:p>
            <w:pPr>
              <w:adjustRightInd/>
              <w:snapToGrid/>
              <w:spacing w:after="0"/>
              <w:rPr>
                <w:rFonts w:ascii="宋体" w:hAnsi="宋体" w:eastAsia="宋体"/>
                <w:color w:val="auto"/>
                <w:sz w:val="21"/>
                <w:szCs w:val="21"/>
                <w:highlight w:val="none"/>
              </w:rPr>
            </w:pPr>
          </w:p>
        </w:tc>
        <w:tc>
          <w:tcPr>
            <w:tcW w:w="1923" w:type="dxa"/>
            <w:vAlign w:val="top"/>
          </w:tcPr>
          <w:p>
            <w:pPr>
              <w:adjustRightInd/>
              <w:snapToGrid/>
              <w:spacing w:after="0"/>
              <w:rPr>
                <w:rFonts w:ascii="宋体" w:hAnsi="宋体" w:eastAsia="宋体"/>
                <w:color w:val="auto"/>
                <w:sz w:val="21"/>
                <w:szCs w:val="21"/>
                <w:highlight w:val="none"/>
              </w:rPr>
            </w:pPr>
          </w:p>
        </w:tc>
        <w:tc>
          <w:tcPr>
            <w:tcW w:w="1479" w:type="dxa"/>
            <w:vAlign w:val="top"/>
          </w:tcPr>
          <w:p>
            <w:pPr>
              <w:adjustRightInd/>
              <w:snapToGrid/>
              <w:spacing w:after="0"/>
              <w:rPr>
                <w:rFonts w:ascii="宋体" w:hAnsi="宋体" w:eastAsia="宋体"/>
                <w:color w:val="auto"/>
                <w:sz w:val="21"/>
                <w:szCs w:val="21"/>
                <w:highlight w:val="none"/>
              </w:rPr>
            </w:pPr>
          </w:p>
        </w:tc>
      </w:tr>
    </w:tbl>
    <w:p>
      <w:pPr>
        <w:pStyle w:val="35"/>
        <w:spacing w:after="0"/>
        <w:rPr>
          <w:rFonts w:ascii="宋体" w:hAnsi="宋体" w:eastAsia="宋体"/>
          <w:color w:val="auto"/>
          <w:sz w:val="21"/>
          <w:szCs w:val="21"/>
          <w:highlight w:val="none"/>
        </w:rPr>
      </w:pPr>
    </w:p>
    <w:p>
      <w:pPr>
        <w:pStyle w:val="35"/>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35"/>
        <w:numPr>
          <w:ilvl w:val="0"/>
          <w:numId w:val="15"/>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35"/>
        <w:numPr>
          <w:ilvl w:val="0"/>
          <w:numId w:val="15"/>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业绩表所列出的材料应为真实准确的，并应提供相关证明材料复印件加盖公章。请勿提供虚假、过期材料，否则将依据相关规定严肃处理。</w:t>
      </w:r>
    </w:p>
    <w:p>
      <w:pPr>
        <w:pStyle w:val="35"/>
        <w:numPr>
          <w:ilvl w:val="0"/>
          <w:numId w:val="15"/>
        </w:num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88" w:name="_Toc80603850"/>
      <w:bookmarkStart w:id="289" w:name="_Toc20654"/>
      <w:r>
        <w:rPr>
          <w:rFonts w:hint="eastAsia" w:ascii="宋体" w:hAnsi="宋体"/>
          <w:color w:val="auto"/>
          <w:sz w:val="21"/>
          <w:szCs w:val="21"/>
          <w:highlight w:val="none"/>
        </w:rPr>
        <w:t>附件14. 项目实施方案格式</w:t>
      </w:r>
      <w:bookmarkEnd w:id="288"/>
      <w:bookmarkEnd w:id="289"/>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项目实施方案</w:t>
      </w:r>
    </w:p>
    <w:p>
      <w:pPr>
        <w:jc w:val="center"/>
        <w:rPr>
          <w:rFonts w:ascii="黑体" w:eastAsia="黑体"/>
          <w:color w:val="auto"/>
          <w:sz w:val="32"/>
          <w:szCs w:val="32"/>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1、为完成本项目投标人临时投入的设备</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2、为完成本项目投标人投入的人员以及具体工作安排</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3、投标人为本项目制定的具体项目实施方案与项目实施流程</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4、售后服务方案</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5、..........</w:t>
      </w:r>
    </w:p>
    <w:p>
      <w:pPr>
        <w:spacing w:after="0" w:line="360" w:lineRule="auto"/>
        <w:ind w:left="73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自行编写。</w:t>
      </w: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90" w:name="_Toc32072"/>
      <w:bookmarkStart w:id="291" w:name="_Toc80603851"/>
      <w:r>
        <w:rPr>
          <w:rFonts w:hint="eastAsia" w:ascii="宋体" w:hAnsi="宋体"/>
          <w:color w:val="auto"/>
          <w:sz w:val="21"/>
          <w:szCs w:val="21"/>
          <w:highlight w:val="none"/>
        </w:rPr>
        <w:t>附件15. 实施本项目的有关人员资料表格式</w:t>
      </w:r>
      <w:bookmarkEnd w:id="290"/>
      <w:bookmarkEnd w:id="291"/>
    </w:p>
    <w:p>
      <w:pPr>
        <w:jc w:val="center"/>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实施本项目的有关人员资料表</w:t>
      </w:r>
    </w:p>
    <w:tbl>
      <w:tblPr>
        <w:tblStyle w:val="31"/>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82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姓名</w:t>
            </w:r>
          </w:p>
        </w:tc>
        <w:tc>
          <w:tcPr>
            <w:tcW w:w="139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本项目拟任岗位</w:t>
            </w:r>
          </w:p>
        </w:tc>
        <w:tc>
          <w:tcPr>
            <w:tcW w:w="763"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性别</w:t>
            </w:r>
          </w:p>
        </w:tc>
        <w:tc>
          <w:tcPr>
            <w:tcW w:w="70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年龄</w:t>
            </w:r>
          </w:p>
        </w:tc>
        <w:tc>
          <w:tcPr>
            <w:tcW w:w="851"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技术职称</w:t>
            </w:r>
          </w:p>
        </w:tc>
        <w:tc>
          <w:tcPr>
            <w:tcW w:w="85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专 业</w:t>
            </w:r>
          </w:p>
        </w:tc>
        <w:tc>
          <w:tcPr>
            <w:tcW w:w="78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资质证书</w:t>
            </w:r>
          </w:p>
        </w:tc>
        <w:tc>
          <w:tcPr>
            <w:tcW w:w="1090" w:type="dxa"/>
            <w:tcBorders>
              <w:right w:val="single" w:color="auto" w:sz="6" w:space="0"/>
            </w:tcBorders>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bl>
    <w:p>
      <w:pPr>
        <w:ind w:firstLine="178" w:firstLineChars="85"/>
        <w:rPr>
          <w:rFonts w:ascii="宋体" w:hAnsi="宋体" w:eastAsia="宋体"/>
          <w:color w:val="auto"/>
          <w:sz w:val="21"/>
          <w:szCs w:val="21"/>
          <w:highlight w:val="none"/>
        </w:rPr>
      </w:pP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附有关证明文件（复印件加盖公章）</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35"/>
        <w:numPr>
          <w:ilvl w:val="0"/>
          <w:numId w:val="16"/>
        </w:numPr>
        <w:ind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投标人可按项目的实际需要提供本表格。</w:t>
      </w:r>
    </w:p>
    <w:p>
      <w:pPr>
        <w:pStyle w:val="35"/>
        <w:numPr>
          <w:ilvl w:val="0"/>
          <w:numId w:val="16"/>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spacing w:after="0" w:line="360" w:lineRule="auto"/>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3、投标人若未提供或未填写完整则视为完全响应招标文件的人员要求，因此对投标人投标产生负面影响的，投标人自行承担后果。</w:t>
      </w:r>
    </w:p>
    <w:p>
      <w:pPr>
        <w:pStyle w:val="35"/>
        <w:numPr>
          <w:ilvl w:val="0"/>
          <w:numId w:val="16"/>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宋体" w:hAnsi="宋体"/>
          <w:color w:val="auto"/>
          <w:sz w:val="21"/>
          <w:szCs w:val="21"/>
          <w:highlight w:val="none"/>
        </w:rPr>
      </w:pPr>
      <w:bookmarkStart w:id="292" w:name="_Toc31119"/>
      <w:bookmarkStart w:id="293" w:name="_Toc80603852"/>
      <w:r>
        <w:rPr>
          <w:rFonts w:hint="eastAsia" w:ascii="宋体" w:hAnsi="宋体"/>
          <w:color w:val="auto"/>
          <w:sz w:val="21"/>
          <w:szCs w:val="21"/>
          <w:highlight w:val="none"/>
        </w:rPr>
        <w:t>附件16.投标货物说明一览表格式</w:t>
      </w:r>
      <w:bookmarkEnd w:id="292"/>
      <w:bookmarkEnd w:id="293"/>
    </w:p>
    <w:p>
      <w:pPr>
        <w:jc w:val="center"/>
        <w:rPr>
          <w:rFonts w:ascii="黑体" w:eastAsia="黑体"/>
          <w:color w:val="auto"/>
          <w:sz w:val="28"/>
          <w:szCs w:val="28"/>
          <w:highlight w:val="none"/>
        </w:rPr>
      </w:pPr>
    </w:p>
    <w:p>
      <w:pPr>
        <w:jc w:val="center"/>
        <w:rPr>
          <w:rFonts w:ascii="黑体" w:eastAsia="黑体" w:cs="Times New Roman"/>
          <w:color w:val="auto"/>
          <w:sz w:val="28"/>
          <w:szCs w:val="28"/>
          <w:highlight w:val="none"/>
        </w:rPr>
      </w:pPr>
      <w:r>
        <w:rPr>
          <w:rFonts w:hint="eastAsia" w:ascii="黑体" w:eastAsia="黑体" w:cs="Times New Roman"/>
          <w:color w:val="auto"/>
          <w:sz w:val="28"/>
          <w:szCs w:val="28"/>
          <w:highlight w:val="none"/>
        </w:rPr>
        <w:t>投标货物说明一览表</w:t>
      </w:r>
    </w:p>
    <w:tbl>
      <w:tblPr>
        <w:tblStyle w:val="31"/>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序号</w:t>
            </w:r>
          </w:p>
        </w:tc>
        <w:tc>
          <w:tcPr>
            <w:tcW w:w="1243"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货物名称</w:t>
            </w:r>
          </w:p>
        </w:tc>
        <w:tc>
          <w:tcPr>
            <w:tcW w:w="1132"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规格型号</w:t>
            </w:r>
          </w:p>
        </w:tc>
        <w:tc>
          <w:tcPr>
            <w:tcW w:w="850"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品牌</w:t>
            </w:r>
          </w:p>
        </w:tc>
        <w:tc>
          <w:tcPr>
            <w:tcW w:w="850"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制造商</w:t>
            </w:r>
          </w:p>
        </w:tc>
        <w:tc>
          <w:tcPr>
            <w:tcW w:w="850"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产地</w:t>
            </w:r>
          </w:p>
        </w:tc>
        <w:tc>
          <w:tcPr>
            <w:tcW w:w="850"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数量</w:t>
            </w:r>
          </w:p>
        </w:tc>
        <w:tc>
          <w:tcPr>
            <w:tcW w:w="1159"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单价</w:t>
            </w:r>
          </w:p>
        </w:tc>
        <w:tc>
          <w:tcPr>
            <w:tcW w:w="914"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highlight w:val="none"/>
              </w:rPr>
            </w:pPr>
          </w:p>
        </w:tc>
        <w:tc>
          <w:tcPr>
            <w:tcW w:w="1243" w:type="dxa"/>
            <w:vAlign w:val="center"/>
          </w:tcPr>
          <w:p>
            <w:pPr>
              <w:spacing w:after="0"/>
              <w:jc w:val="center"/>
              <w:rPr>
                <w:rFonts w:ascii="宋体" w:hAnsi="宋体" w:eastAsia="宋体" w:cs="Times New Roman"/>
                <w:color w:val="auto"/>
                <w:sz w:val="21"/>
                <w:szCs w:val="21"/>
                <w:highlight w:val="none"/>
              </w:rPr>
            </w:pPr>
          </w:p>
        </w:tc>
        <w:tc>
          <w:tcPr>
            <w:tcW w:w="1132"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850" w:type="dxa"/>
            <w:vAlign w:val="center"/>
          </w:tcPr>
          <w:p>
            <w:pPr>
              <w:spacing w:after="0"/>
              <w:jc w:val="center"/>
              <w:rPr>
                <w:rFonts w:ascii="宋体" w:hAnsi="宋体" w:eastAsia="宋体" w:cs="Times New Roman"/>
                <w:color w:val="auto"/>
                <w:sz w:val="21"/>
                <w:szCs w:val="21"/>
                <w:highlight w:val="none"/>
              </w:rPr>
            </w:pPr>
          </w:p>
        </w:tc>
        <w:tc>
          <w:tcPr>
            <w:tcW w:w="1159" w:type="dxa"/>
            <w:vAlign w:val="center"/>
          </w:tcPr>
          <w:p>
            <w:pPr>
              <w:spacing w:after="0"/>
              <w:jc w:val="center"/>
              <w:rPr>
                <w:rFonts w:ascii="宋体" w:hAnsi="宋体" w:eastAsia="宋体" w:cs="Times New Roman"/>
                <w:color w:val="auto"/>
                <w:sz w:val="21"/>
                <w:szCs w:val="21"/>
                <w:highlight w:val="none"/>
              </w:rPr>
            </w:pPr>
          </w:p>
        </w:tc>
        <w:tc>
          <w:tcPr>
            <w:tcW w:w="914" w:type="dxa"/>
            <w:vAlign w:val="center"/>
          </w:tcPr>
          <w:p>
            <w:pPr>
              <w:spacing w:after="0"/>
              <w:jc w:val="center"/>
              <w:rPr>
                <w:rFonts w:ascii="宋体" w:hAnsi="宋体" w:eastAsia="宋体" w:cs="Times New Roman"/>
                <w:color w:val="auto"/>
                <w:sz w:val="21"/>
                <w:szCs w:val="21"/>
                <w:highlight w:val="none"/>
              </w:rPr>
            </w:pPr>
          </w:p>
        </w:tc>
      </w:tr>
    </w:tbl>
    <w:p>
      <w:pPr>
        <w:spacing w:after="0"/>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投标人代表签字：</w:t>
      </w: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投标人盖章：</w:t>
      </w:r>
    </w:p>
    <w:p>
      <w:pPr>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注：</w:t>
      </w:r>
    </w:p>
    <w:p>
      <w:pPr>
        <w:pStyle w:val="35"/>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1、投标人可按项目的实际需要提供本表格。</w:t>
      </w:r>
    </w:p>
    <w:p>
      <w:pPr>
        <w:pStyle w:val="35"/>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2、该表格为参考格式，投标人可按实际情况自行制订。</w:t>
      </w:r>
    </w:p>
    <w:p>
      <w:pPr>
        <w:pStyle w:val="35"/>
        <w:ind w:firstLine="0" w:firstLineChars="0"/>
        <w:rPr>
          <w:rFonts w:ascii="宋体" w:hAnsi="宋体" w:eastAsia="宋体"/>
          <w:color w:val="auto"/>
          <w:sz w:val="21"/>
          <w:szCs w:val="21"/>
          <w:highlight w:val="none"/>
        </w:rPr>
      </w:pPr>
      <w:r>
        <w:rPr>
          <w:rFonts w:hint="eastAsia" w:ascii="宋体" w:hAnsi="宋体" w:eastAsia="宋体"/>
          <w:b/>
          <w:bCs/>
          <w:color w:val="auto"/>
          <w:sz w:val="21"/>
          <w:szCs w:val="21"/>
          <w:highlight w:val="none"/>
        </w:rPr>
        <w:t>3、如本项目不涉及此表内容，则无需提供此表。</w:t>
      </w:r>
      <w:r>
        <w:rPr>
          <w:rFonts w:hint="eastAsia" w:ascii="宋体" w:hAnsi="宋体" w:eastAsia="宋体"/>
          <w:color w:val="auto"/>
          <w:sz w:val="21"/>
          <w:szCs w:val="21"/>
          <w:highlight w:val="none"/>
        </w:rPr>
        <w:br w:type="page"/>
      </w:r>
    </w:p>
    <w:p>
      <w:pPr>
        <w:pStyle w:val="5"/>
        <w:widowControl w:val="0"/>
        <w:tabs>
          <w:tab w:val="left" w:pos="8286"/>
        </w:tabs>
        <w:overflowPunct w:val="0"/>
        <w:spacing w:before="0" w:after="0" w:line="240" w:lineRule="auto"/>
        <w:rPr>
          <w:rFonts w:ascii="楷体_GB2312" w:eastAsia="楷体_GB2312"/>
          <w:color w:val="auto"/>
          <w:sz w:val="24"/>
          <w:highlight w:val="none"/>
        </w:rPr>
      </w:pPr>
      <w:bookmarkStart w:id="294" w:name="_Toc10089"/>
      <w:bookmarkStart w:id="295" w:name="_Toc80603853"/>
      <w:r>
        <w:rPr>
          <w:rFonts w:hint="eastAsia" w:ascii="宋体" w:hAnsi="宋体"/>
          <w:color w:val="auto"/>
          <w:sz w:val="21"/>
          <w:szCs w:val="21"/>
          <w:highlight w:val="none"/>
        </w:rPr>
        <w:t>附件17.在经营活动中没有重大违法记录的书面声明格式</w:t>
      </w:r>
      <w:bookmarkEnd w:id="294"/>
      <w:bookmarkEnd w:id="295"/>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投标人在经营活动中前三年内未有重大违法记录、没有不良信用记录的声明函</w:t>
      </w:r>
    </w:p>
    <w:p>
      <w:pPr>
        <w:spacing w:after="0" w:line="360" w:lineRule="auto"/>
        <w:ind w:firstLine="420" w:firstLineChars="200"/>
        <w:rPr>
          <w:rFonts w:ascii="宋体" w:hAnsi="宋体" w:eastAsia="宋体" w:cs="宋体"/>
          <w:color w:val="auto"/>
          <w:sz w:val="21"/>
          <w:szCs w:val="21"/>
          <w:highlight w:val="none"/>
        </w:rPr>
      </w:pP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三方诚信招标有限公司东莞分公司：</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 xml:space="preserve">       （采购项目名称）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auto"/>
          <w:sz w:val="21"/>
          <w:szCs w:val="21"/>
          <w:highlight w:val="none"/>
        </w:rPr>
      </w:pP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投标人名称（盖章）：</w:t>
      </w: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adjustRightInd/>
        <w:snapToGrid/>
        <w:spacing w:line="276" w:lineRule="auto"/>
        <w:rPr>
          <w:rFonts w:ascii="楷体_GB2312" w:hAnsi="Cambria" w:eastAsia="楷体_GB2312"/>
          <w:b/>
          <w:bCs/>
          <w:color w:val="auto"/>
          <w:sz w:val="24"/>
          <w:szCs w:val="28"/>
          <w:highlight w:val="none"/>
        </w:rPr>
      </w:pPr>
      <w:bookmarkStart w:id="296" w:name="_Toc417907703"/>
      <w:r>
        <w:rPr>
          <w:rFonts w:ascii="楷体_GB2312" w:eastAsia="楷体_GB2312"/>
          <w:color w:val="auto"/>
          <w:sz w:val="24"/>
          <w:highlight w:val="none"/>
        </w:rPr>
        <w:br w:type="page"/>
      </w:r>
    </w:p>
    <w:p>
      <w:pPr>
        <w:pStyle w:val="5"/>
        <w:widowControl w:val="0"/>
        <w:tabs>
          <w:tab w:val="left" w:pos="8286"/>
        </w:tabs>
        <w:overflowPunct w:val="0"/>
        <w:spacing w:before="0" w:after="0" w:line="240" w:lineRule="auto"/>
        <w:rPr>
          <w:color w:val="auto"/>
          <w:highlight w:val="none"/>
        </w:rPr>
      </w:pPr>
      <w:bookmarkStart w:id="297" w:name="_Toc80603854"/>
      <w:bookmarkStart w:id="298" w:name="_Toc31483"/>
      <w:r>
        <w:rPr>
          <w:rFonts w:hint="eastAsia" w:ascii="宋体" w:hAnsi="宋体"/>
          <w:color w:val="auto"/>
          <w:sz w:val="21"/>
          <w:szCs w:val="21"/>
          <w:highlight w:val="none"/>
        </w:rPr>
        <w:t>附件18. 中小企业声明函（投标人为中小企业时适用）</w:t>
      </w:r>
      <w:bookmarkEnd w:id="296"/>
      <w:bookmarkEnd w:id="297"/>
      <w:bookmarkEnd w:id="298"/>
    </w:p>
    <w:p>
      <w:pPr>
        <w:jc w:val="center"/>
        <w:rPr>
          <w:rFonts w:ascii="微软雅黑" w:hAnsi="微软雅黑" w:cs="微软雅黑"/>
          <w:b/>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中小企业声明函（货物）</w:t>
      </w:r>
    </w:p>
    <w:p>
      <w:pPr>
        <w:spacing w:line="360" w:lineRule="auto"/>
        <w:ind w:firstLine="630" w:firstLineChars="3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采购活动，提供的货物全部由符合政策要求的中小企业制造。相关企业</w:t>
      </w:r>
      <w:r>
        <w:rPr>
          <w:rFonts w:hint="eastAsia" w:ascii="宋体" w:hAnsi="宋体" w:eastAsia="宋体" w:cs="宋体"/>
          <w:color w:val="auto"/>
          <w:sz w:val="21"/>
          <w:szCs w:val="21"/>
          <w:highlight w:val="none"/>
          <w:u w:val="single"/>
        </w:rPr>
        <w:t>（含联合体中的中小企业、签订分包意向协议的中小企业）</w:t>
      </w:r>
      <w:r>
        <w:rPr>
          <w:rFonts w:hint="eastAsia" w:ascii="宋体" w:hAnsi="宋体" w:eastAsia="宋体" w:cs="宋体"/>
          <w:color w:val="auto"/>
          <w:sz w:val="21"/>
          <w:szCs w:val="21"/>
          <w:highlight w:val="none"/>
        </w:rPr>
        <w:t>的具体情况如下：</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 xml:space="preserve">    1.</w:t>
      </w:r>
      <w:r>
        <w:rPr>
          <w:rFonts w:hint="eastAsia"/>
          <w:color w:val="auto"/>
          <w:sz w:val="21"/>
          <w:szCs w:val="21"/>
          <w:highlight w:val="none"/>
          <w:u w:val="single"/>
          <w:lang w:val="en-US"/>
        </w:rPr>
        <w:t>（标的名称）</w:t>
      </w:r>
      <w:r>
        <w:rPr>
          <w:rFonts w:hint="eastAsia"/>
          <w:color w:val="auto"/>
          <w:sz w:val="21"/>
          <w:szCs w:val="21"/>
          <w:highlight w:val="none"/>
          <w:lang w:val="en-US"/>
        </w:rPr>
        <w:t>，属于</w:t>
      </w:r>
      <w:r>
        <w:rPr>
          <w:rFonts w:hint="eastAsia"/>
          <w:color w:val="auto"/>
          <w:sz w:val="21"/>
          <w:szCs w:val="21"/>
          <w:highlight w:val="none"/>
          <w:u w:val="single"/>
          <w:lang w:val="en-US"/>
        </w:rPr>
        <w:t>（采购文件中明确的所属行业）行业</w:t>
      </w:r>
      <w:r>
        <w:rPr>
          <w:rFonts w:hint="eastAsia"/>
          <w:color w:val="auto"/>
          <w:sz w:val="21"/>
          <w:szCs w:val="21"/>
          <w:highlight w:val="none"/>
          <w:lang w:val="en-US"/>
        </w:rPr>
        <w:t>；制造商为</w:t>
      </w:r>
      <w:r>
        <w:rPr>
          <w:rFonts w:hint="eastAsia"/>
          <w:color w:val="auto"/>
          <w:sz w:val="21"/>
          <w:szCs w:val="21"/>
          <w:highlight w:val="none"/>
          <w:u w:val="single"/>
          <w:lang w:val="en-US"/>
        </w:rPr>
        <w:t>（企业名称）</w:t>
      </w:r>
      <w:r>
        <w:rPr>
          <w:rFonts w:hint="eastAsia"/>
          <w:color w:val="auto"/>
          <w:sz w:val="21"/>
          <w:szCs w:val="21"/>
          <w:highlight w:val="none"/>
          <w:lang w:val="en-US"/>
        </w:rPr>
        <w:t>，从业人员_______人，营业收入为_______万元，资产总额为______万元</w:t>
      </w:r>
      <w:r>
        <w:rPr>
          <w:rStyle w:val="30"/>
          <w:rFonts w:hint="eastAsia"/>
          <w:color w:val="auto"/>
          <w:sz w:val="21"/>
          <w:szCs w:val="21"/>
          <w:highlight w:val="none"/>
          <w:lang w:val="en-US"/>
        </w:rPr>
        <w:footnoteReference w:id="0"/>
      </w:r>
      <w:r>
        <w:rPr>
          <w:rFonts w:hint="eastAsia"/>
          <w:color w:val="auto"/>
          <w:sz w:val="21"/>
          <w:szCs w:val="21"/>
          <w:highlight w:val="none"/>
          <w:lang w:val="en-US"/>
        </w:rPr>
        <w:t>，属于</w:t>
      </w:r>
      <w:r>
        <w:rPr>
          <w:rFonts w:hint="eastAsia"/>
          <w:color w:val="auto"/>
          <w:sz w:val="21"/>
          <w:szCs w:val="21"/>
          <w:highlight w:val="none"/>
          <w:u w:val="single"/>
          <w:lang w:val="en-US"/>
        </w:rPr>
        <w:t>（中型企业、小型企业、微型企业）</w:t>
      </w: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 xml:space="preserve">    2.</w:t>
      </w:r>
      <w:r>
        <w:rPr>
          <w:rFonts w:hint="eastAsia"/>
          <w:color w:val="auto"/>
          <w:sz w:val="21"/>
          <w:szCs w:val="21"/>
          <w:highlight w:val="none"/>
          <w:u w:val="single"/>
          <w:lang w:val="en-US"/>
        </w:rPr>
        <w:t>（标的名称）</w:t>
      </w:r>
      <w:r>
        <w:rPr>
          <w:rFonts w:hint="eastAsia"/>
          <w:color w:val="auto"/>
          <w:sz w:val="21"/>
          <w:szCs w:val="21"/>
          <w:highlight w:val="none"/>
          <w:lang w:val="en-US"/>
        </w:rPr>
        <w:t>，属于</w:t>
      </w:r>
      <w:r>
        <w:rPr>
          <w:rFonts w:hint="eastAsia"/>
          <w:color w:val="auto"/>
          <w:sz w:val="21"/>
          <w:szCs w:val="21"/>
          <w:highlight w:val="none"/>
          <w:u w:val="single"/>
          <w:lang w:val="en-US"/>
        </w:rPr>
        <w:t>（采购文件中明确的所属行业）行业</w:t>
      </w:r>
      <w:r>
        <w:rPr>
          <w:rFonts w:hint="eastAsia"/>
          <w:color w:val="auto"/>
          <w:sz w:val="21"/>
          <w:szCs w:val="21"/>
          <w:highlight w:val="none"/>
          <w:lang w:val="en-US"/>
        </w:rPr>
        <w:t>；制造商为</w:t>
      </w:r>
      <w:r>
        <w:rPr>
          <w:rFonts w:hint="eastAsia"/>
          <w:color w:val="auto"/>
          <w:sz w:val="21"/>
          <w:szCs w:val="21"/>
          <w:highlight w:val="none"/>
          <w:u w:val="single"/>
          <w:lang w:val="en-US"/>
        </w:rPr>
        <w:t>（企业名称）</w:t>
      </w:r>
      <w:r>
        <w:rPr>
          <w:rFonts w:hint="eastAsia"/>
          <w:color w:val="auto"/>
          <w:sz w:val="21"/>
          <w:szCs w:val="21"/>
          <w:highlight w:val="none"/>
          <w:lang w:val="en-US"/>
        </w:rPr>
        <w:t>，从业人员_______人，营业收入为_______万元，资产总额为______万元，属于</w:t>
      </w:r>
      <w:r>
        <w:rPr>
          <w:rFonts w:hint="eastAsia"/>
          <w:color w:val="auto"/>
          <w:sz w:val="21"/>
          <w:szCs w:val="21"/>
          <w:highlight w:val="none"/>
          <w:u w:val="single"/>
          <w:lang w:val="en-US"/>
        </w:rPr>
        <w:t>（中型企业、小型企业、微型企业）</w:t>
      </w: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以上企业，不属于大企业的分支机构，不存在控股股东为大企业的情形，也不存在与大企业的负责人为同一人的情形。</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本企业对上诉声明内容的真实性负责。如有虚假，将依法承担相应责任。</w:t>
      </w:r>
    </w:p>
    <w:p>
      <w:pPr>
        <w:pStyle w:val="9"/>
        <w:wordWrap w:val="0"/>
        <w:spacing w:line="360" w:lineRule="auto"/>
        <w:ind w:left="0" w:firstLine="480"/>
        <w:jc w:val="right"/>
        <w:rPr>
          <w:color w:val="auto"/>
          <w:sz w:val="21"/>
          <w:szCs w:val="21"/>
          <w:highlight w:val="none"/>
          <w:lang w:val="en-US"/>
        </w:rPr>
      </w:pPr>
      <w:r>
        <w:rPr>
          <w:rFonts w:hint="eastAsia"/>
          <w:color w:val="auto"/>
          <w:sz w:val="21"/>
          <w:szCs w:val="21"/>
          <w:highlight w:val="none"/>
          <w:lang w:val="en-US"/>
        </w:rPr>
        <w:t xml:space="preserve">    </w:t>
      </w:r>
    </w:p>
    <w:p>
      <w:pPr>
        <w:pStyle w:val="9"/>
        <w:spacing w:line="360" w:lineRule="auto"/>
        <w:ind w:firstLine="4830" w:firstLineChars="2300"/>
        <w:jc w:val="both"/>
        <w:rPr>
          <w:color w:val="auto"/>
          <w:sz w:val="21"/>
          <w:szCs w:val="21"/>
          <w:highlight w:val="none"/>
          <w:lang w:val="en-US"/>
        </w:rPr>
      </w:pPr>
      <w:r>
        <w:rPr>
          <w:rFonts w:hint="eastAsia"/>
          <w:color w:val="auto"/>
          <w:sz w:val="21"/>
          <w:szCs w:val="21"/>
          <w:highlight w:val="none"/>
          <w:lang w:val="en-US"/>
        </w:rPr>
        <w:t>企业名称（盖章）：</w:t>
      </w:r>
    </w:p>
    <w:p>
      <w:pPr>
        <w:pStyle w:val="9"/>
        <w:spacing w:line="360" w:lineRule="auto"/>
        <w:ind w:left="0" w:firstLine="480"/>
        <w:jc w:val="center"/>
        <w:rPr>
          <w:color w:val="auto"/>
          <w:highlight w:val="none"/>
          <w:lang w:val="en-US"/>
        </w:rPr>
      </w:pPr>
      <w:r>
        <w:rPr>
          <w:rFonts w:hint="eastAsia"/>
          <w:color w:val="auto"/>
          <w:sz w:val="21"/>
          <w:szCs w:val="21"/>
          <w:highlight w:val="none"/>
          <w:lang w:val="en-US"/>
        </w:rPr>
        <w:t xml:space="preserve">                 日期：</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中小企业声明函（工程、服务）</w:t>
      </w:r>
    </w:p>
    <w:p>
      <w:pPr>
        <w:spacing w:line="360" w:lineRule="auto"/>
        <w:ind w:firstLine="220" w:firstLineChars="100"/>
        <w:rPr>
          <w:rFonts w:ascii="宋体" w:hAnsi="宋体" w:eastAsia="宋体" w:cs="宋体"/>
          <w:color w:val="auto"/>
          <w:sz w:val="21"/>
          <w:szCs w:val="21"/>
          <w:highlight w:val="none"/>
        </w:rPr>
      </w:pPr>
      <w:r>
        <w:rPr>
          <w:rFonts w:hint="eastAsia" w:eastAsia="宋体"/>
          <w:color w:val="auto"/>
          <w:highlight w:val="none"/>
        </w:rPr>
        <w:t xml:space="preserve">     </w:t>
      </w:r>
      <w:r>
        <w:rPr>
          <w:rFonts w:hint="eastAsia" w:ascii="宋体" w:hAnsi="宋体" w:eastAsia="宋体" w:cs="宋体"/>
          <w:color w:val="auto"/>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 xml:space="preserve">    1.</w:t>
      </w:r>
      <w:r>
        <w:rPr>
          <w:rFonts w:hint="eastAsia"/>
          <w:color w:val="auto"/>
          <w:sz w:val="21"/>
          <w:szCs w:val="21"/>
          <w:highlight w:val="none"/>
          <w:u w:val="single"/>
          <w:lang w:val="en-US"/>
        </w:rPr>
        <w:t>（标的名称）</w:t>
      </w:r>
      <w:r>
        <w:rPr>
          <w:rFonts w:hint="eastAsia"/>
          <w:color w:val="auto"/>
          <w:sz w:val="21"/>
          <w:szCs w:val="21"/>
          <w:highlight w:val="none"/>
          <w:lang w:val="en-US"/>
        </w:rPr>
        <w:t>，属于</w:t>
      </w:r>
      <w:r>
        <w:rPr>
          <w:rFonts w:hint="eastAsia"/>
          <w:color w:val="auto"/>
          <w:sz w:val="21"/>
          <w:szCs w:val="21"/>
          <w:highlight w:val="none"/>
          <w:u w:val="single"/>
          <w:lang w:val="en-US"/>
        </w:rPr>
        <w:t>（采购文件中明确的所属行业）行业</w:t>
      </w:r>
      <w:r>
        <w:rPr>
          <w:rFonts w:hint="eastAsia"/>
          <w:color w:val="auto"/>
          <w:sz w:val="21"/>
          <w:szCs w:val="21"/>
          <w:highlight w:val="none"/>
          <w:lang w:val="en-US"/>
        </w:rPr>
        <w:t>；承建（承接）企业为</w:t>
      </w:r>
      <w:r>
        <w:rPr>
          <w:rFonts w:hint="eastAsia"/>
          <w:color w:val="auto"/>
          <w:sz w:val="21"/>
          <w:szCs w:val="21"/>
          <w:highlight w:val="none"/>
          <w:u w:val="single"/>
          <w:lang w:val="en-US"/>
        </w:rPr>
        <w:t>（企业名称）</w:t>
      </w:r>
      <w:r>
        <w:rPr>
          <w:rFonts w:hint="eastAsia"/>
          <w:color w:val="auto"/>
          <w:sz w:val="21"/>
          <w:szCs w:val="21"/>
          <w:highlight w:val="none"/>
          <w:lang w:val="en-US"/>
        </w:rPr>
        <w:t>，从业人员_______人，营业收入为_______万元，资产总额为______万元</w:t>
      </w:r>
      <w:r>
        <w:rPr>
          <w:rStyle w:val="30"/>
          <w:rFonts w:hint="eastAsia"/>
          <w:color w:val="auto"/>
          <w:sz w:val="21"/>
          <w:szCs w:val="21"/>
          <w:highlight w:val="none"/>
          <w:lang w:val="en-US"/>
        </w:rPr>
        <w:footnoteReference w:id="1"/>
      </w:r>
      <w:r>
        <w:rPr>
          <w:rFonts w:hint="eastAsia"/>
          <w:color w:val="auto"/>
          <w:sz w:val="21"/>
          <w:szCs w:val="21"/>
          <w:highlight w:val="none"/>
          <w:lang w:val="en-US"/>
        </w:rPr>
        <w:t>，属于</w:t>
      </w:r>
      <w:r>
        <w:rPr>
          <w:rFonts w:hint="eastAsia"/>
          <w:color w:val="auto"/>
          <w:sz w:val="21"/>
          <w:szCs w:val="21"/>
          <w:highlight w:val="none"/>
          <w:u w:val="single"/>
          <w:lang w:val="en-US"/>
        </w:rPr>
        <w:t>（中型企业、小型企业、微型企业）</w:t>
      </w: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 xml:space="preserve">    2.</w:t>
      </w:r>
      <w:r>
        <w:rPr>
          <w:rFonts w:hint="eastAsia"/>
          <w:color w:val="auto"/>
          <w:sz w:val="21"/>
          <w:szCs w:val="21"/>
          <w:highlight w:val="none"/>
          <w:u w:val="single"/>
          <w:lang w:val="en-US"/>
        </w:rPr>
        <w:t>（标的名称）</w:t>
      </w:r>
      <w:r>
        <w:rPr>
          <w:rFonts w:hint="eastAsia"/>
          <w:color w:val="auto"/>
          <w:sz w:val="21"/>
          <w:szCs w:val="21"/>
          <w:highlight w:val="none"/>
          <w:lang w:val="en-US"/>
        </w:rPr>
        <w:t>，属于</w:t>
      </w:r>
      <w:r>
        <w:rPr>
          <w:rFonts w:hint="eastAsia"/>
          <w:color w:val="auto"/>
          <w:sz w:val="21"/>
          <w:szCs w:val="21"/>
          <w:highlight w:val="none"/>
          <w:u w:val="single"/>
          <w:lang w:val="en-US"/>
        </w:rPr>
        <w:t>（采购文件中明确的所属行业）行业</w:t>
      </w:r>
      <w:r>
        <w:rPr>
          <w:rFonts w:hint="eastAsia"/>
          <w:color w:val="auto"/>
          <w:sz w:val="21"/>
          <w:szCs w:val="21"/>
          <w:highlight w:val="none"/>
          <w:lang w:val="en-US"/>
        </w:rPr>
        <w:t>；承建（承接）企业为</w:t>
      </w:r>
      <w:r>
        <w:rPr>
          <w:rFonts w:hint="eastAsia"/>
          <w:color w:val="auto"/>
          <w:sz w:val="21"/>
          <w:szCs w:val="21"/>
          <w:highlight w:val="none"/>
          <w:u w:val="single"/>
          <w:lang w:val="en-US"/>
        </w:rPr>
        <w:t>（企业名称）</w:t>
      </w:r>
      <w:r>
        <w:rPr>
          <w:rFonts w:hint="eastAsia"/>
          <w:color w:val="auto"/>
          <w:sz w:val="21"/>
          <w:szCs w:val="21"/>
          <w:highlight w:val="none"/>
          <w:lang w:val="en-US"/>
        </w:rPr>
        <w:t>，从业人员_______人，营业收入为_______万元，资产总额为______万元，属于</w:t>
      </w:r>
      <w:r>
        <w:rPr>
          <w:rFonts w:hint="eastAsia"/>
          <w:color w:val="auto"/>
          <w:sz w:val="21"/>
          <w:szCs w:val="21"/>
          <w:highlight w:val="none"/>
          <w:u w:val="single"/>
          <w:lang w:val="en-US"/>
        </w:rPr>
        <w:t>（中型企业、小型企业、微型企业）</w:t>
      </w: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以上企业，不属于大企业的分支机构，不存在控股股东为大企业的情形，也不存在与大企业的负责人为同一人的情形。</w:t>
      </w:r>
    </w:p>
    <w:p>
      <w:pPr>
        <w:pStyle w:val="9"/>
        <w:spacing w:line="360" w:lineRule="auto"/>
        <w:ind w:left="0" w:firstLine="210" w:firstLineChars="100"/>
        <w:rPr>
          <w:color w:val="auto"/>
          <w:sz w:val="21"/>
          <w:szCs w:val="21"/>
          <w:highlight w:val="none"/>
          <w:lang w:val="en-US"/>
        </w:rPr>
      </w:pPr>
      <w:r>
        <w:rPr>
          <w:rFonts w:hint="eastAsia"/>
          <w:color w:val="auto"/>
          <w:sz w:val="21"/>
          <w:szCs w:val="21"/>
          <w:highlight w:val="none"/>
          <w:lang w:val="en-US"/>
        </w:rPr>
        <w:t>本企业对上诉声明内容的真实性负责。如有虚假，将依法承担相应责任。</w:t>
      </w:r>
    </w:p>
    <w:p>
      <w:pPr>
        <w:pStyle w:val="9"/>
        <w:spacing w:line="360" w:lineRule="auto"/>
        <w:ind w:left="0" w:firstLine="480"/>
        <w:rPr>
          <w:color w:val="auto"/>
          <w:sz w:val="21"/>
          <w:szCs w:val="21"/>
          <w:highlight w:val="none"/>
          <w:lang w:val="en-US"/>
        </w:rPr>
      </w:pPr>
      <w:r>
        <w:rPr>
          <w:rFonts w:hint="eastAsia"/>
          <w:color w:val="auto"/>
          <w:sz w:val="21"/>
          <w:szCs w:val="21"/>
          <w:highlight w:val="none"/>
          <w:lang w:val="en-US"/>
        </w:rPr>
        <w:t xml:space="preserve">    </w:t>
      </w:r>
    </w:p>
    <w:p>
      <w:pPr>
        <w:pStyle w:val="9"/>
        <w:spacing w:line="360" w:lineRule="auto"/>
        <w:ind w:firstLine="4830" w:firstLineChars="2300"/>
        <w:jc w:val="both"/>
        <w:rPr>
          <w:color w:val="auto"/>
          <w:sz w:val="21"/>
          <w:szCs w:val="21"/>
          <w:highlight w:val="none"/>
          <w:lang w:val="en-US"/>
        </w:rPr>
      </w:pPr>
      <w:r>
        <w:rPr>
          <w:rFonts w:hint="eastAsia"/>
          <w:color w:val="auto"/>
          <w:sz w:val="21"/>
          <w:szCs w:val="21"/>
          <w:highlight w:val="none"/>
          <w:lang w:val="en-US"/>
        </w:rPr>
        <w:t>企业名称（盖章）：</w:t>
      </w:r>
    </w:p>
    <w:p>
      <w:pPr>
        <w:pStyle w:val="9"/>
        <w:spacing w:line="360" w:lineRule="auto"/>
        <w:ind w:left="0" w:firstLine="480"/>
        <w:jc w:val="center"/>
        <w:rPr>
          <w:color w:val="auto"/>
          <w:highlight w:val="none"/>
          <w:lang w:val="en-US"/>
        </w:rPr>
      </w:pPr>
      <w:r>
        <w:rPr>
          <w:rFonts w:hint="eastAsia"/>
          <w:color w:val="auto"/>
          <w:sz w:val="21"/>
          <w:szCs w:val="21"/>
          <w:highlight w:val="none"/>
          <w:lang w:val="en-US"/>
        </w:rPr>
        <w:t xml:space="preserve">                 日期：</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2、若投标人不属于规定的中小企业范围，或提供的产品不是中小企业制造的，则无需提供此表。中小企业划分标准可查阅《关于印发中小企业划型标准规定的通知》（工信部联企业〔2011〕300号）</w:t>
      </w:r>
    </w:p>
    <w:p>
      <w:pPr>
        <w:pStyle w:val="9"/>
        <w:spacing w:line="360" w:lineRule="auto"/>
        <w:ind w:left="0" w:firstLine="420" w:firstLineChars="200"/>
        <w:rPr>
          <w:rFonts w:cs="黑体"/>
          <w:color w:val="auto"/>
          <w:sz w:val="21"/>
          <w:szCs w:val="21"/>
          <w:highlight w:val="none"/>
          <w:lang w:val="en-US" w:bidi="ar-SA"/>
        </w:rPr>
      </w:pPr>
      <w:r>
        <w:rPr>
          <w:rFonts w:hint="eastAsia" w:cs="黑体"/>
          <w:color w:val="auto"/>
          <w:sz w:val="21"/>
          <w:szCs w:val="21"/>
          <w:highlight w:val="none"/>
          <w:lang w:val="en-US" w:bidi="ar-SA"/>
        </w:rPr>
        <w:t>3、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4、依据规定享受扶持政策获得政府采购合同的，小微企业不得将合同分包给大中型企业，中型企业不得将合同分包给大型企业。</w:t>
      </w:r>
    </w:p>
    <w:p>
      <w:pPr>
        <w:rPr>
          <w:rFonts w:ascii="楷体_GB2312" w:eastAsia="楷体_GB2312"/>
          <w:color w:val="auto"/>
          <w:sz w:val="24"/>
          <w:highlight w:val="none"/>
        </w:rPr>
      </w:pPr>
    </w:p>
    <w:p>
      <w:pPr>
        <w:adjustRightInd/>
        <w:snapToGrid/>
        <w:spacing w:line="276" w:lineRule="auto"/>
        <w:rPr>
          <w:rFonts w:ascii="楷体_GB2312" w:hAnsi="Cambria" w:eastAsia="楷体_GB2312"/>
          <w:b/>
          <w:bCs/>
          <w:color w:val="auto"/>
          <w:sz w:val="24"/>
          <w:szCs w:val="28"/>
          <w:highlight w:val="none"/>
        </w:rPr>
      </w:pPr>
      <w:r>
        <w:rPr>
          <w:rFonts w:ascii="楷体_GB2312" w:eastAsia="楷体_GB2312"/>
          <w:color w:val="auto"/>
          <w:sz w:val="24"/>
          <w:highlight w:val="none"/>
        </w:rPr>
        <w:br w:type="page"/>
      </w:r>
    </w:p>
    <w:p>
      <w:pPr>
        <w:pStyle w:val="5"/>
        <w:widowControl w:val="0"/>
        <w:tabs>
          <w:tab w:val="left" w:pos="8286"/>
        </w:tabs>
        <w:overflowPunct w:val="0"/>
        <w:spacing w:before="0" w:after="0" w:line="240" w:lineRule="auto"/>
        <w:rPr>
          <w:rFonts w:ascii="楷体_GB2312" w:eastAsia="楷体_GB2312"/>
          <w:color w:val="auto"/>
          <w:sz w:val="24"/>
          <w:highlight w:val="none"/>
        </w:rPr>
      </w:pPr>
      <w:bookmarkStart w:id="299" w:name="_Toc80603855"/>
      <w:bookmarkStart w:id="300" w:name="_Toc22867"/>
      <w:r>
        <w:rPr>
          <w:rFonts w:hint="eastAsia" w:ascii="宋体" w:hAnsi="宋体"/>
          <w:color w:val="auto"/>
          <w:sz w:val="21"/>
          <w:szCs w:val="21"/>
          <w:highlight w:val="none"/>
        </w:rPr>
        <w:t>附件19.《残疾人福利性单位声明函》（残疾人福利性单位适用）</w:t>
      </w:r>
      <w:bookmarkEnd w:id="299"/>
      <w:bookmarkEnd w:id="300"/>
    </w:p>
    <w:p>
      <w:pPr>
        <w:jc w:val="cente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残疾人福利性单位声明函</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单位名称（盖章）：</w:t>
      </w:r>
      <w:bookmarkStart w:id="301" w:name="_Toc508958703"/>
      <w:bookmarkStart w:id="302" w:name="_Toc508960153"/>
      <w:bookmarkStart w:id="303" w:name="_Toc22970"/>
      <w:bookmarkStart w:id="304" w:name="_Toc17761"/>
      <w:bookmarkStart w:id="305" w:name="_Toc30247"/>
      <w:bookmarkStart w:id="306" w:name="_Toc509844825"/>
      <w:bookmarkStart w:id="307" w:name="_Toc509479530"/>
      <w:bookmarkStart w:id="308" w:name="_Toc510171693"/>
      <w:bookmarkStart w:id="309" w:name="_Toc30277"/>
      <w:bookmarkStart w:id="310" w:name="_Toc20910"/>
      <w:bookmarkStart w:id="311" w:name="_Toc509927455"/>
      <w:bookmarkStart w:id="312" w:name="_Toc508898066"/>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日  期：</w:t>
      </w:r>
      <w:bookmarkEnd w:id="301"/>
      <w:bookmarkEnd w:id="302"/>
      <w:bookmarkEnd w:id="303"/>
      <w:bookmarkEnd w:id="304"/>
      <w:bookmarkEnd w:id="305"/>
      <w:bookmarkEnd w:id="306"/>
      <w:bookmarkEnd w:id="307"/>
      <w:bookmarkEnd w:id="308"/>
      <w:bookmarkEnd w:id="309"/>
      <w:bookmarkEnd w:id="310"/>
      <w:bookmarkEnd w:id="311"/>
      <w:bookmarkEnd w:id="312"/>
    </w:p>
    <w:p>
      <w:pPr>
        <w:pStyle w:val="9"/>
        <w:rPr>
          <w:color w:val="auto"/>
          <w:highlight w:val="none"/>
        </w:rPr>
      </w:pPr>
    </w:p>
    <w:p>
      <w:pPr>
        <w:spacing w:after="0" w:line="480" w:lineRule="auto"/>
        <w:ind w:firstLine="420" w:firstLineChars="200"/>
        <w:rPr>
          <w:rFonts w:ascii="宋体" w:hAnsi="宋体" w:eastAsia="宋体"/>
          <w:color w:val="auto"/>
          <w:sz w:val="21"/>
          <w:szCs w:val="21"/>
          <w:highlight w:val="none"/>
        </w:rPr>
      </w:pPr>
      <w:bookmarkStart w:id="313" w:name="_Toc21053"/>
      <w:bookmarkStart w:id="314" w:name="_Toc510171694"/>
      <w:bookmarkStart w:id="315" w:name="_Toc508898067"/>
      <w:bookmarkStart w:id="316" w:name="_Toc508960154"/>
      <w:bookmarkStart w:id="317" w:name="_Toc31520"/>
      <w:bookmarkStart w:id="318" w:name="_Toc28527"/>
      <w:bookmarkStart w:id="319" w:name="_Toc26216"/>
      <w:bookmarkStart w:id="320" w:name="_Toc5447"/>
      <w:bookmarkStart w:id="321" w:name="_Toc509927456"/>
      <w:bookmarkStart w:id="322" w:name="_Toc509479531"/>
      <w:bookmarkStart w:id="323" w:name="_Toc509844826"/>
      <w:bookmarkStart w:id="324" w:name="_Toc508958704"/>
      <w:r>
        <w:rPr>
          <w:rFonts w:hint="eastAsia" w:ascii="宋体" w:hAnsi="宋体" w:eastAsia="宋体"/>
          <w:color w:val="auto"/>
          <w:sz w:val="21"/>
          <w:szCs w:val="21"/>
          <w:highlight w:val="none"/>
        </w:rPr>
        <w:t>注：（1）符合《财政部 民政部 中国残疾人联合会关于促进残疾人就业政府采购政策的通知》（财库〔2017〕 141号）规定条件的残疾人福利性单位应当提供《残疾人福利性单位声明函》。</w:t>
      </w:r>
      <w:bookmarkEnd w:id="313"/>
      <w:bookmarkEnd w:id="314"/>
      <w:bookmarkEnd w:id="315"/>
      <w:bookmarkEnd w:id="316"/>
      <w:bookmarkEnd w:id="317"/>
      <w:bookmarkEnd w:id="318"/>
      <w:bookmarkEnd w:id="319"/>
      <w:bookmarkEnd w:id="320"/>
      <w:bookmarkEnd w:id="321"/>
      <w:bookmarkEnd w:id="322"/>
      <w:bookmarkEnd w:id="323"/>
      <w:bookmarkEnd w:id="324"/>
    </w:p>
    <w:p>
      <w:pPr>
        <w:spacing w:after="0" w:line="480" w:lineRule="auto"/>
        <w:ind w:firstLine="420" w:firstLineChars="200"/>
        <w:rPr>
          <w:rFonts w:ascii="宋体" w:hAnsi="宋体" w:eastAsia="宋体"/>
          <w:color w:val="auto"/>
          <w:sz w:val="21"/>
          <w:szCs w:val="21"/>
          <w:highlight w:val="none"/>
        </w:rPr>
      </w:pPr>
      <w:bookmarkStart w:id="325" w:name="_Toc509927457"/>
      <w:bookmarkStart w:id="326" w:name="_Toc24848"/>
      <w:bookmarkStart w:id="327" w:name="_Toc28126"/>
      <w:bookmarkStart w:id="328" w:name="_Toc9148"/>
      <w:bookmarkStart w:id="329" w:name="_Toc510171695"/>
      <w:bookmarkStart w:id="330" w:name="_Toc509479532"/>
      <w:bookmarkStart w:id="331" w:name="_Toc508958705"/>
      <w:bookmarkStart w:id="332" w:name="_Toc28626"/>
      <w:bookmarkStart w:id="333" w:name="_Toc14653"/>
      <w:bookmarkStart w:id="334" w:name="_Toc509844827"/>
      <w:bookmarkStart w:id="335" w:name="_Toc508898068"/>
      <w:bookmarkStart w:id="336" w:name="_Toc508960155"/>
      <w:r>
        <w:rPr>
          <w:rFonts w:hint="eastAsia" w:ascii="宋体" w:hAnsi="宋体" w:eastAsia="宋体"/>
          <w:color w:val="auto"/>
          <w:sz w:val="21"/>
          <w:szCs w:val="21"/>
          <w:highlight w:val="none"/>
        </w:rPr>
        <w:t>（2）中标人为残疾人福利性单位的，采购代理机构将随中标结果同时公告其《残疾人福利性单位声明函》，接受社会监督。</w:t>
      </w:r>
      <w:bookmarkEnd w:id="325"/>
      <w:bookmarkEnd w:id="326"/>
      <w:bookmarkEnd w:id="327"/>
      <w:bookmarkEnd w:id="328"/>
      <w:bookmarkEnd w:id="329"/>
      <w:bookmarkEnd w:id="330"/>
      <w:bookmarkEnd w:id="331"/>
      <w:bookmarkEnd w:id="332"/>
      <w:bookmarkEnd w:id="333"/>
      <w:bookmarkEnd w:id="334"/>
      <w:bookmarkEnd w:id="335"/>
      <w:bookmarkEnd w:id="336"/>
    </w:p>
    <w:p>
      <w:pPr>
        <w:spacing w:after="0" w:line="480" w:lineRule="auto"/>
        <w:ind w:firstLine="420" w:firstLineChars="200"/>
        <w:rPr>
          <w:rFonts w:ascii="宋体" w:hAnsi="宋体" w:eastAsia="宋体"/>
          <w:color w:val="auto"/>
          <w:sz w:val="21"/>
          <w:szCs w:val="21"/>
          <w:highlight w:val="none"/>
        </w:rPr>
      </w:pPr>
      <w:bookmarkStart w:id="337" w:name="_Toc22981"/>
      <w:bookmarkStart w:id="338" w:name="_Toc508898069"/>
      <w:bookmarkStart w:id="339" w:name="_Toc28044"/>
      <w:bookmarkStart w:id="340" w:name="_Toc28686"/>
      <w:bookmarkStart w:id="341" w:name="_Toc509927458"/>
      <w:bookmarkStart w:id="342" w:name="_Toc510171696"/>
      <w:bookmarkStart w:id="343" w:name="_Toc509479533"/>
      <w:bookmarkStart w:id="344" w:name="_Toc508960156"/>
      <w:bookmarkStart w:id="345" w:name="_Toc9837"/>
      <w:bookmarkStart w:id="346" w:name="_Toc7858"/>
      <w:bookmarkStart w:id="347" w:name="_Toc508958706"/>
      <w:bookmarkStart w:id="348" w:name="_Toc509844828"/>
      <w:r>
        <w:rPr>
          <w:rFonts w:hint="eastAsia" w:ascii="宋体" w:hAnsi="宋体" w:eastAsia="宋体"/>
          <w:color w:val="auto"/>
          <w:sz w:val="21"/>
          <w:szCs w:val="21"/>
          <w:highlight w:val="none"/>
        </w:rPr>
        <w:t>（3）投标人提供的《残疾人福利性单位声明函》与事实不符的，依照《政府采购法》第七十七条第一款的规定追究法律责任。</w:t>
      </w:r>
      <w:bookmarkEnd w:id="337"/>
      <w:bookmarkEnd w:id="338"/>
      <w:bookmarkEnd w:id="339"/>
      <w:bookmarkEnd w:id="340"/>
      <w:bookmarkEnd w:id="341"/>
      <w:bookmarkEnd w:id="342"/>
      <w:bookmarkEnd w:id="343"/>
      <w:bookmarkEnd w:id="344"/>
      <w:bookmarkEnd w:id="345"/>
      <w:bookmarkEnd w:id="346"/>
      <w:bookmarkEnd w:id="347"/>
      <w:bookmarkEnd w:id="348"/>
    </w:p>
    <w:p>
      <w:pPr>
        <w:spacing w:after="0" w:line="480" w:lineRule="auto"/>
        <w:ind w:firstLine="420" w:firstLineChars="200"/>
        <w:rPr>
          <w:rFonts w:ascii="宋体" w:hAnsi="宋体" w:eastAsia="宋体"/>
          <w:color w:val="auto"/>
          <w:sz w:val="21"/>
          <w:szCs w:val="21"/>
          <w:highlight w:val="none"/>
        </w:rPr>
      </w:pPr>
      <w:bookmarkStart w:id="349" w:name="_Toc5289"/>
      <w:bookmarkStart w:id="350" w:name="_Toc510171697"/>
      <w:bookmarkStart w:id="351" w:name="_Toc508958707"/>
      <w:bookmarkStart w:id="352" w:name="_Toc509927459"/>
      <w:bookmarkStart w:id="353" w:name="_Toc508898070"/>
      <w:bookmarkStart w:id="354" w:name="_Toc509844829"/>
      <w:bookmarkStart w:id="355" w:name="_Toc509479534"/>
      <w:bookmarkStart w:id="356" w:name="_Toc18843"/>
      <w:bookmarkStart w:id="357" w:name="_Toc508960157"/>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349"/>
      <w:bookmarkEnd w:id="350"/>
      <w:bookmarkEnd w:id="351"/>
      <w:bookmarkEnd w:id="352"/>
      <w:bookmarkEnd w:id="353"/>
      <w:bookmarkEnd w:id="354"/>
      <w:bookmarkEnd w:id="355"/>
      <w:bookmarkEnd w:id="356"/>
      <w:bookmarkEnd w:id="357"/>
    </w:p>
    <w:p>
      <w:pPr>
        <w:adjustRightInd/>
        <w:snapToGrid/>
        <w:spacing w:line="276"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br w:type="page"/>
      </w:r>
    </w:p>
    <w:p>
      <w:pPr>
        <w:pStyle w:val="5"/>
        <w:widowControl w:val="0"/>
        <w:tabs>
          <w:tab w:val="left" w:pos="8286"/>
        </w:tabs>
        <w:overflowPunct w:val="0"/>
        <w:spacing w:before="0" w:after="0" w:line="240" w:lineRule="auto"/>
        <w:rPr>
          <w:color w:val="auto"/>
          <w:highlight w:val="none"/>
        </w:rPr>
      </w:pPr>
      <w:bookmarkStart w:id="358" w:name="_Toc80603856"/>
      <w:bookmarkStart w:id="359" w:name="_Toc8662"/>
      <w:r>
        <w:rPr>
          <w:rFonts w:hint="eastAsia" w:ascii="宋体" w:hAnsi="宋体"/>
          <w:color w:val="auto"/>
          <w:sz w:val="21"/>
          <w:szCs w:val="21"/>
          <w:highlight w:val="none"/>
        </w:rPr>
        <w:t>附件20. 投标保证金汇入情况说明格式</w:t>
      </w:r>
      <w:bookmarkEnd w:id="358"/>
      <w:bookmarkEnd w:id="359"/>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投标保证金汇入情况说明</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致：三方诚信招标有限公司东莞分公司：</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本单位已按</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包（采购项目编号：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）的招标文件要求，于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日前以</w:t>
      </w:r>
      <w:r>
        <w:rPr>
          <w:rFonts w:hint="eastAsia" w:ascii="宋体" w:hAnsi="宋体" w:eastAsia="宋体"/>
          <w:color w:val="auto"/>
          <w:sz w:val="21"/>
          <w:szCs w:val="21"/>
          <w:highlight w:val="none"/>
          <w:u w:val="single"/>
        </w:rPr>
        <w:t xml:space="preserve">           （付款形式）</w:t>
      </w:r>
      <w:r>
        <w:rPr>
          <w:rFonts w:hint="eastAsia" w:ascii="宋体" w:hAnsi="宋体" w:eastAsia="宋体"/>
          <w:color w:val="auto"/>
          <w:sz w:val="21"/>
          <w:szCs w:val="21"/>
          <w:highlight w:val="none"/>
        </w:rPr>
        <w:t>方式汇入指定帐户（帐户名称：</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，帐号：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,开户银行：</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本单位投标保证金的汇款情况：（详见附件－投标保证金进帐单）</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汇出时间：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汇款金额：（大写）人民币</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元（小写：￥</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汇款帐户名称：</w:t>
      </w:r>
      <w:r>
        <w:rPr>
          <w:rFonts w:hint="eastAsia" w:ascii="宋体" w:hAnsi="宋体" w:eastAsia="宋体"/>
          <w:color w:val="auto"/>
          <w:sz w:val="21"/>
          <w:szCs w:val="21"/>
          <w:highlight w:val="none"/>
          <w:u w:val="single"/>
        </w:rPr>
        <w:t xml:space="preserve">  （必须是投标时使用的帐户名）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帐        号：</w:t>
      </w:r>
      <w:r>
        <w:rPr>
          <w:rFonts w:hint="eastAsia" w:ascii="宋体" w:hAnsi="宋体" w:eastAsia="宋体"/>
          <w:color w:val="auto"/>
          <w:sz w:val="21"/>
          <w:szCs w:val="21"/>
          <w:highlight w:val="none"/>
          <w:u w:val="single"/>
        </w:rPr>
        <w:t xml:space="preserve">  （必须是投标时使用的帐号）     </w:t>
      </w:r>
    </w:p>
    <w:p>
      <w:pPr>
        <w:spacing w:after="0" w:line="480" w:lineRule="auto"/>
        <w:ind w:firstLine="420" w:firstLineChars="20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开 户  银 行：</w:t>
      </w:r>
      <w:r>
        <w:rPr>
          <w:rFonts w:hint="eastAsia" w:ascii="宋体" w:hAnsi="宋体" w:eastAsia="宋体"/>
          <w:color w:val="auto"/>
          <w:sz w:val="21"/>
          <w:szCs w:val="21"/>
          <w:highlight w:val="none"/>
          <w:u w:val="single"/>
        </w:rPr>
        <w:t xml:space="preserve">  （      银行   分行  支行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投标保证金退回时，请按上述资料退回。</w:t>
      </w:r>
    </w:p>
    <w:p>
      <w:pPr>
        <w:spacing w:after="0" w:line="480" w:lineRule="auto"/>
        <w:ind w:right="884" w:rightChars="402"/>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（单位公章）</w:t>
      </w:r>
    </w:p>
    <w:p>
      <w:pPr>
        <w:spacing w:after="0" w:line="480" w:lineRule="auto"/>
        <w:ind w:right="658" w:rightChars="299"/>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年 月 日</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单位名称：</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单位地址：</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联系人：</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单位电话：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联系人手机：</w:t>
      </w:r>
      <w:r>
        <w:rPr>
          <w:rFonts w:hint="eastAsia" w:ascii="宋体" w:hAnsi="宋体" w:eastAsia="宋体"/>
          <w:color w:val="auto"/>
          <w:sz w:val="21"/>
          <w:szCs w:val="21"/>
          <w:highlight w:val="none"/>
          <w:u w:val="single"/>
        </w:rPr>
        <w:t xml:space="preserve">              </w:t>
      </w:r>
    </w:p>
    <w:p>
      <w:pPr>
        <w:spacing w:after="0"/>
        <w:rPr>
          <w:rFonts w:ascii="宋体" w:hAnsi="宋体" w:eastAsia="宋体"/>
          <w:color w:val="auto"/>
          <w:sz w:val="21"/>
          <w:szCs w:val="21"/>
          <w:highlight w:val="none"/>
        </w:rPr>
      </w:pP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附：我方投标保证金汇款凭证</w:t>
      </w:r>
    </w:p>
    <w:tbl>
      <w:tblPr>
        <w:tblStyle w:val="31"/>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（粘贴汇款单或转账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复印件，并在骑缝上加盖投标人公章，或是直接把转账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复印到此张纸上）</w:t>
            </w:r>
          </w:p>
        </w:tc>
      </w:tr>
    </w:tbl>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tabs>
          <w:tab w:val="left" w:pos="8286"/>
        </w:tabs>
        <w:spacing w:before="0" w:after="0" w:line="240" w:lineRule="auto"/>
        <w:rPr>
          <w:rFonts w:ascii="宋体" w:hAnsi="宋体" w:cs="宋体"/>
          <w:color w:val="auto"/>
          <w:sz w:val="21"/>
          <w:szCs w:val="21"/>
          <w:highlight w:val="none"/>
        </w:rPr>
      </w:pPr>
      <w:bookmarkStart w:id="360" w:name="_Toc80603857"/>
      <w:bookmarkStart w:id="361" w:name="_Toc4506"/>
      <w:r>
        <w:rPr>
          <w:rFonts w:hint="eastAsia" w:ascii="宋体" w:hAnsi="宋体" w:cs="宋体"/>
          <w:color w:val="auto"/>
          <w:sz w:val="21"/>
          <w:szCs w:val="21"/>
          <w:highlight w:val="none"/>
        </w:rPr>
        <w:t>附件21.获取招标文件登记表</w:t>
      </w:r>
      <w:bookmarkEnd w:id="360"/>
      <w:bookmarkEnd w:id="361"/>
    </w:p>
    <w:p>
      <w:pPr>
        <w:pStyle w:val="3"/>
        <w:spacing w:before="0" w:after="0" w:line="240" w:lineRule="auto"/>
        <w:jc w:val="center"/>
        <w:rPr>
          <w:rFonts w:ascii="黑体" w:hAnsi="宋体"/>
          <w:color w:val="auto"/>
          <w:sz w:val="44"/>
          <w:szCs w:val="44"/>
          <w:highlight w:val="none"/>
        </w:rPr>
      </w:pPr>
      <w:bookmarkStart w:id="362" w:name="_Toc1968"/>
    </w:p>
    <w:p>
      <w:pPr>
        <w:spacing w:after="0"/>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获取招标文件登记表</w:t>
      </w:r>
      <w:bookmarkEnd w:id="362"/>
    </w:p>
    <w:tbl>
      <w:tblPr>
        <w:tblStyle w:val="32"/>
        <w:tblW w:w="852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获取招标文件时间</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2021年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拟投标项目名称</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项目包号</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投标人全称</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投标人联系人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电话</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手机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传真</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电子邮箱</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单位地址及邮编</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备注</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招标文件领取人签名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招标文件发售人签名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招标文件售价</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人民币200元/份</w:t>
            </w:r>
          </w:p>
        </w:tc>
      </w:tr>
    </w:tbl>
    <w:p>
      <w:pPr>
        <w:pStyle w:val="9"/>
        <w:ind w:left="0" w:leftChars="0" w:firstLine="0" w:firstLineChars="0"/>
        <w:rPr>
          <w:color w:val="auto"/>
          <w:highlight w:val="none"/>
        </w:rPr>
      </w:pPr>
    </w:p>
    <w:sectPr>
      <w:headerReference r:id="rId7" w:type="first"/>
      <w:footerReference r:id="rId9" w:type="first"/>
      <w:headerReference r:id="rId6" w:type="default"/>
      <w:footerReference r:id="rId8" w:type="default"/>
      <w:pgSz w:w="11906" w:h="16838"/>
      <w:pgMar w:top="1440" w:right="1800" w:bottom="1440" w:left="1800" w:header="708" w:footer="708" w:gutter="0"/>
      <w:pgNumType w:fmt="decimal" w:start="1"/>
      <w:cols w:space="720"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 w:name="Times">
    <w:altName w:val="Times New Roman"/>
    <w:panose1 w:val="02020603050405020304"/>
    <w:charset w:val="00"/>
    <w:family w:val="auto"/>
    <w:pitch w:val="default"/>
    <w:sig w:usb0="00000000" w:usb1="00000000" w:usb2="00000000" w:usb3="00000000" w:csb0="00000093"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ind w:firstLine="360"/>
    </w:pPr>
    <w:r>
      <w:rPr>
        <w:rFonts w:ascii="Tahoma" w:hAnsi="Tahoma" w:eastAsia="微软雅黑" w:cs="黑体"/>
        <w:sz w:val="18"/>
        <w:szCs w:val="18"/>
        <w:lang w:val="en-US" w:eastAsia="zh-CN" w:bidi="ar-SA"/>
      </w:rPr>
      <w:pict>
        <v:shape id="Quad Arrow 1026"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ind w:firstLine="360"/>
    </w:pPr>
    <w:r>
      <w:rPr>
        <w:rFonts w:ascii="Tahoma" w:hAnsi="Tahoma" w:eastAsia="微软雅黑" w:cs="黑体"/>
        <w:sz w:val="18"/>
        <w:szCs w:val="18"/>
        <w:lang w:val="en-US" w:eastAsia="zh-CN" w:bidi="ar-SA"/>
      </w:rPr>
      <w:pict>
        <v:shape id="文本框 3" o:spid="_x0000_s1026" type="#_x0000_t202" style="position:absolute;left:0;margin-top:0pt;height:144pt;width:144pt;mso-position-horizontal:center;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footnote w:id="0">
    <w:p>
      <w:pPr>
        <w:pStyle w:val="21"/>
        <w:rPr>
          <w:rFonts w:ascii="宋体" w:hAnsi="宋体" w:eastAsia="宋体" w:cs="宋体"/>
        </w:rPr>
      </w:pPr>
      <w:r>
        <w:rPr>
          <w:rStyle w:val="30"/>
          <w:rFonts w:hint="eastAsia" w:ascii="宋体" w:hAnsi="宋体" w:eastAsia="宋体" w:cs="宋体"/>
        </w:rPr>
        <w:footnoteRef/>
      </w:r>
      <w:r>
        <w:rPr>
          <w:rFonts w:hint="eastAsia" w:ascii="宋体" w:hAnsi="宋体" w:eastAsia="宋体" w:cs="宋体"/>
        </w:rPr>
        <w:t xml:space="preserve"> 从业人员、营业人员、资产总额填报上一年度数据，无上一年度数据的新成立企业可不填报。</w:t>
      </w:r>
    </w:p>
  </w:footnote>
  <w:footnote w:id="1">
    <w:p>
      <w:pPr>
        <w:pStyle w:val="21"/>
        <w:rPr>
          <w:rFonts w:ascii="宋体" w:hAnsi="宋体" w:eastAsia="宋体" w:cs="宋体"/>
        </w:rPr>
      </w:pPr>
      <w:r>
        <w:rPr>
          <w:rStyle w:val="30"/>
          <w:rFonts w:hint="eastAsia" w:ascii="宋体" w:hAnsi="宋体" w:eastAsia="宋体" w:cs="宋体"/>
        </w:rPr>
        <w:footnoteRef/>
      </w:r>
      <w:r>
        <w:rPr>
          <w:rFonts w:hint="eastAsia" w:ascii="宋体" w:hAnsi="宋体" w:eastAsia="宋体" w:cs="宋体"/>
        </w:rPr>
        <w:t xml:space="preserve">  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jc w:val="left"/>
    </w:pPr>
    <w:r>
      <w:rPr>
        <w:rFonts w:hint="eastAsia"/>
      </w:rPr>
      <w:t>国内采购公开招标文件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75404029">
    <w:nsid w:val="4C051EFD"/>
    <w:multiLevelType w:val="multilevel"/>
    <w:tmpl w:val="4C051EFD"/>
    <w:lvl w:ilvl="0" w:tentative="1">
      <w:start w:val="1"/>
      <w:numFmt w:val="bullet"/>
      <w:lvlText w:val=""/>
      <w:lvlJc w:val="left"/>
      <w:pPr>
        <w:ind w:left="980" w:hanging="420"/>
      </w:pPr>
      <w:rPr>
        <w:rFonts w:hint="default" w:ascii="Wingdings" w:hAnsi="Wingdings"/>
      </w:rPr>
    </w:lvl>
    <w:lvl w:ilvl="1" w:tentative="1">
      <w:start w:val="1"/>
      <w:numFmt w:val="bullet"/>
      <w:lvlText w:val=""/>
      <w:lvlJc w:val="left"/>
      <w:pPr>
        <w:ind w:left="1400" w:hanging="420"/>
      </w:pPr>
      <w:rPr>
        <w:rFonts w:hint="default" w:ascii="Wingdings" w:hAnsi="Wingdings"/>
      </w:rPr>
    </w:lvl>
    <w:lvl w:ilvl="2" w:tentative="1">
      <w:start w:val="1"/>
      <w:numFmt w:val="bullet"/>
      <w:lvlText w:val=""/>
      <w:lvlJc w:val="left"/>
      <w:pPr>
        <w:ind w:left="1820" w:hanging="420"/>
      </w:pPr>
      <w:rPr>
        <w:rFonts w:hint="default" w:ascii="Wingdings" w:hAnsi="Wingdings"/>
      </w:rPr>
    </w:lvl>
    <w:lvl w:ilvl="3" w:tentative="1">
      <w:start w:val="1"/>
      <w:numFmt w:val="bullet"/>
      <w:lvlText w:val=""/>
      <w:lvlJc w:val="left"/>
      <w:pPr>
        <w:ind w:left="2240" w:hanging="420"/>
      </w:pPr>
      <w:rPr>
        <w:rFonts w:hint="default" w:ascii="Wingdings" w:hAnsi="Wingdings"/>
      </w:rPr>
    </w:lvl>
    <w:lvl w:ilvl="4" w:tentative="1">
      <w:start w:val="1"/>
      <w:numFmt w:val="bullet"/>
      <w:lvlText w:val=""/>
      <w:lvlJc w:val="left"/>
      <w:pPr>
        <w:ind w:left="2660" w:hanging="420"/>
      </w:pPr>
      <w:rPr>
        <w:rFonts w:hint="default" w:ascii="Wingdings" w:hAnsi="Wingdings"/>
      </w:rPr>
    </w:lvl>
    <w:lvl w:ilvl="5" w:tentative="1">
      <w:start w:val="1"/>
      <w:numFmt w:val="bullet"/>
      <w:lvlText w:val=""/>
      <w:lvlJc w:val="left"/>
      <w:pPr>
        <w:ind w:left="3080" w:hanging="420"/>
      </w:pPr>
      <w:rPr>
        <w:rFonts w:hint="default" w:ascii="Wingdings" w:hAnsi="Wingdings"/>
      </w:rPr>
    </w:lvl>
    <w:lvl w:ilvl="6" w:tentative="1">
      <w:start w:val="1"/>
      <w:numFmt w:val="bullet"/>
      <w:lvlText w:val=""/>
      <w:lvlJc w:val="left"/>
      <w:pPr>
        <w:ind w:left="3500" w:hanging="420"/>
      </w:pPr>
      <w:rPr>
        <w:rFonts w:hint="default" w:ascii="Wingdings" w:hAnsi="Wingdings"/>
      </w:rPr>
    </w:lvl>
    <w:lvl w:ilvl="7" w:tentative="1">
      <w:start w:val="1"/>
      <w:numFmt w:val="bullet"/>
      <w:lvlText w:val=""/>
      <w:lvlJc w:val="left"/>
      <w:pPr>
        <w:ind w:left="3920" w:hanging="420"/>
      </w:pPr>
      <w:rPr>
        <w:rFonts w:hint="default" w:ascii="Wingdings" w:hAnsi="Wingdings"/>
      </w:rPr>
    </w:lvl>
    <w:lvl w:ilvl="8" w:tentative="1">
      <w:start w:val="1"/>
      <w:numFmt w:val="bullet"/>
      <w:lvlText w:val=""/>
      <w:lvlJc w:val="left"/>
      <w:pPr>
        <w:ind w:left="4340" w:hanging="420"/>
      </w:pPr>
      <w:rPr>
        <w:rFonts w:hint="default" w:ascii="Wingdings" w:hAnsi="Wingdings"/>
      </w:rPr>
    </w:lvl>
  </w:abstractNum>
  <w:abstractNum w:abstractNumId="3488707749">
    <w:nsid w:val="CFF174A5"/>
    <w:multiLevelType w:val="singleLevel"/>
    <w:tmpl w:val="CFF174A5"/>
    <w:lvl w:ilvl="0" w:tentative="1">
      <w:start w:val="1"/>
      <w:numFmt w:val="decimal"/>
      <w:suff w:val="nothing"/>
      <w:lvlText w:val="%1、"/>
      <w:lvlJc w:val="left"/>
    </w:lvl>
  </w:abstractNum>
  <w:abstractNum w:abstractNumId="545987988">
    <w:nsid w:val="208B1D94"/>
    <w:multiLevelType w:val="multilevel"/>
    <w:tmpl w:val="208B1D94"/>
    <w:lvl w:ilvl="0" w:tentative="1">
      <w:start w:val="1"/>
      <w:numFmt w:val="chineseCountingThousand"/>
      <w:suff w:val="nothing"/>
      <w:lvlText w:val="第%1章 "/>
      <w:lvlJc w:val="left"/>
      <w:pPr>
        <w:ind w:left="0" w:firstLine="0"/>
      </w:pPr>
      <w:rPr>
        <w:rFonts w:hint="eastAsia"/>
        <w:lang w:val="en-US"/>
      </w:rPr>
    </w:lvl>
    <w:lvl w:ilvl="1" w:tentative="1">
      <w:start w:val="1"/>
      <w:numFmt w:val="decimal"/>
      <w:isLgl/>
      <w:suff w:val="nothing"/>
      <w:lvlText w:val="%1.%2 "/>
      <w:lvlJc w:val="left"/>
      <w:pPr>
        <w:ind w:left="-113" w:firstLine="113"/>
      </w:pPr>
      <w:rPr>
        <w:rFonts w:hint="eastAsia"/>
      </w:rPr>
    </w:lvl>
    <w:lvl w:ilvl="2" w:tentative="1">
      <w:start w:val="1"/>
      <w:numFmt w:val="decimal"/>
      <w:isLgl/>
      <w:suff w:val="nothing"/>
      <w:lvlText w:val="%1.%2.%3"/>
      <w:lvlJc w:val="left"/>
      <w:pPr>
        <w:ind w:left="1617" w:firstLine="227"/>
      </w:pPr>
      <w:rPr>
        <w:rFonts w:hint="eastAsia"/>
      </w:rPr>
    </w:lvl>
    <w:lvl w:ilvl="3" w:tentative="1">
      <w:start w:val="1"/>
      <w:numFmt w:val="decimal"/>
      <w:pStyle w:val="33"/>
      <w:isLgl/>
      <w:suff w:val="nothing"/>
      <w:lvlText w:val="%1.%2.%3.%4"/>
      <w:lvlJc w:val="left"/>
      <w:pPr>
        <w:ind w:left="0" w:firstLine="340"/>
      </w:pPr>
      <w:rPr>
        <w:rFonts w:hint="eastAsia"/>
      </w:rPr>
    </w:lvl>
    <w:lvl w:ilvl="4" w:tentative="1">
      <w:start w:val="1"/>
      <w:numFmt w:val="decimal"/>
      <w:pStyle w:val="49"/>
      <w:isLgl/>
      <w:suff w:val="nothing"/>
      <w:lvlText w:val="%1.%2.%3.%4.%5"/>
      <w:lvlJc w:val="left"/>
      <w:pPr>
        <w:ind w:left="-170" w:firstLine="454"/>
      </w:pPr>
      <w:rPr>
        <w:rFonts w:hint="eastAsia"/>
      </w:rPr>
    </w:lvl>
    <w:lvl w:ilvl="5" w:tentative="1">
      <w:start w:val="1"/>
      <w:numFmt w:val="none"/>
      <w:suff w:val="nothing"/>
      <w:lvlText w:val=""/>
      <w:lvlJc w:val="left"/>
      <w:pPr>
        <w:ind w:left="0" w:firstLine="0"/>
      </w:pPr>
      <w:rPr>
        <w:rFonts w:hint="eastAsia"/>
      </w:rPr>
    </w:lvl>
    <w:lvl w:ilvl="6" w:tentative="1">
      <w:start w:val="1"/>
      <w:numFmt w:val="none"/>
      <w:suff w:val="nothing"/>
      <w:lvlText w:val=""/>
      <w:lvlJc w:val="left"/>
      <w:pPr>
        <w:ind w:left="0" w:firstLine="0"/>
      </w:pPr>
      <w:rPr>
        <w:rFonts w:hint="eastAsia"/>
      </w:rPr>
    </w:lvl>
    <w:lvl w:ilvl="7" w:tentative="1">
      <w:start w:val="1"/>
      <w:numFmt w:val="none"/>
      <w:suff w:val="nothing"/>
      <w:lvlText w:val=""/>
      <w:lvlJc w:val="left"/>
      <w:pPr>
        <w:ind w:left="0" w:firstLine="0"/>
      </w:pPr>
      <w:rPr>
        <w:rFonts w:hint="eastAsia"/>
      </w:rPr>
    </w:lvl>
    <w:lvl w:ilvl="8" w:tentative="1">
      <w:start w:val="1"/>
      <w:numFmt w:val="none"/>
      <w:suff w:val="nothing"/>
      <w:lvlText w:val=""/>
      <w:lvlJc w:val="left"/>
      <w:pPr>
        <w:ind w:left="0" w:firstLine="0"/>
      </w:pPr>
      <w:rPr>
        <w:rFonts w:hint="eastAsia"/>
      </w:rPr>
    </w:lvl>
  </w:abstractNum>
  <w:abstractNum w:abstractNumId="1065903662">
    <w:nsid w:val="3F88662E"/>
    <w:multiLevelType w:val="singleLevel"/>
    <w:tmpl w:val="3F88662E"/>
    <w:lvl w:ilvl="0" w:tentative="1">
      <w:start w:val="1"/>
      <w:numFmt w:val="decimal"/>
      <w:suff w:val="space"/>
      <w:lvlText w:val="%1)"/>
      <w:lvlJc w:val="left"/>
    </w:lvl>
  </w:abstractNum>
  <w:abstractNum w:abstractNumId="951522362">
    <w:nsid w:val="38B7143A"/>
    <w:multiLevelType w:val="multilevel"/>
    <w:tmpl w:val="38B7143A"/>
    <w:lvl w:ilvl="0" w:tentative="1">
      <w:start w:val="1"/>
      <w:numFmt w:val="bullet"/>
      <w:lvlText w:val=""/>
      <w:lvlJc w:val="left"/>
      <w:pPr>
        <w:ind w:left="980" w:hanging="420"/>
      </w:pPr>
      <w:rPr>
        <w:rFonts w:hint="default" w:ascii="Wingdings" w:hAnsi="Wingdings"/>
      </w:rPr>
    </w:lvl>
    <w:lvl w:ilvl="1" w:tentative="1">
      <w:start w:val="1"/>
      <w:numFmt w:val="bullet"/>
      <w:lvlText w:val=""/>
      <w:lvlJc w:val="left"/>
      <w:pPr>
        <w:ind w:left="1400" w:hanging="420"/>
      </w:pPr>
      <w:rPr>
        <w:rFonts w:hint="default" w:ascii="Wingdings" w:hAnsi="Wingdings"/>
      </w:rPr>
    </w:lvl>
    <w:lvl w:ilvl="2" w:tentative="1">
      <w:start w:val="1"/>
      <w:numFmt w:val="bullet"/>
      <w:lvlText w:val=""/>
      <w:lvlJc w:val="left"/>
      <w:pPr>
        <w:ind w:left="1820" w:hanging="420"/>
      </w:pPr>
      <w:rPr>
        <w:rFonts w:hint="default" w:ascii="Wingdings" w:hAnsi="Wingdings"/>
      </w:rPr>
    </w:lvl>
    <w:lvl w:ilvl="3" w:tentative="1">
      <w:start w:val="1"/>
      <w:numFmt w:val="bullet"/>
      <w:lvlText w:val=""/>
      <w:lvlJc w:val="left"/>
      <w:pPr>
        <w:ind w:left="2240" w:hanging="420"/>
      </w:pPr>
      <w:rPr>
        <w:rFonts w:hint="default" w:ascii="Wingdings" w:hAnsi="Wingdings"/>
      </w:rPr>
    </w:lvl>
    <w:lvl w:ilvl="4" w:tentative="1">
      <w:start w:val="1"/>
      <w:numFmt w:val="bullet"/>
      <w:lvlText w:val=""/>
      <w:lvlJc w:val="left"/>
      <w:pPr>
        <w:ind w:left="2660" w:hanging="420"/>
      </w:pPr>
      <w:rPr>
        <w:rFonts w:hint="default" w:ascii="Wingdings" w:hAnsi="Wingdings"/>
      </w:rPr>
    </w:lvl>
    <w:lvl w:ilvl="5" w:tentative="1">
      <w:start w:val="1"/>
      <w:numFmt w:val="bullet"/>
      <w:lvlText w:val=""/>
      <w:lvlJc w:val="left"/>
      <w:pPr>
        <w:ind w:left="3080" w:hanging="420"/>
      </w:pPr>
      <w:rPr>
        <w:rFonts w:hint="default" w:ascii="Wingdings" w:hAnsi="Wingdings"/>
      </w:rPr>
    </w:lvl>
    <w:lvl w:ilvl="6" w:tentative="1">
      <w:start w:val="1"/>
      <w:numFmt w:val="bullet"/>
      <w:lvlText w:val=""/>
      <w:lvlJc w:val="left"/>
      <w:pPr>
        <w:ind w:left="3500" w:hanging="420"/>
      </w:pPr>
      <w:rPr>
        <w:rFonts w:hint="default" w:ascii="Wingdings" w:hAnsi="Wingdings"/>
      </w:rPr>
    </w:lvl>
    <w:lvl w:ilvl="7" w:tentative="1">
      <w:start w:val="1"/>
      <w:numFmt w:val="bullet"/>
      <w:lvlText w:val=""/>
      <w:lvlJc w:val="left"/>
      <w:pPr>
        <w:ind w:left="3920" w:hanging="420"/>
      </w:pPr>
      <w:rPr>
        <w:rFonts w:hint="default" w:ascii="Wingdings" w:hAnsi="Wingdings"/>
      </w:rPr>
    </w:lvl>
    <w:lvl w:ilvl="8" w:tentative="1">
      <w:start w:val="1"/>
      <w:numFmt w:val="bullet"/>
      <w:lvlText w:val=""/>
      <w:lvlJc w:val="left"/>
      <w:pPr>
        <w:ind w:left="4340" w:hanging="420"/>
      </w:pPr>
      <w:rPr>
        <w:rFonts w:hint="default" w:ascii="Wingdings" w:hAnsi="Wingdings"/>
      </w:rPr>
    </w:lvl>
  </w:abstractNum>
  <w:abstractNum w:abstractNumId="1476871659">
    <w:nsid w:val="580745EB"/>
    <w:multiLevelType w:val="multilevel"/>
    <w:tmpl w:val="580745EB"/>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89954686">
    <w:nsid w:val="D0047B7E"/>
    <w:multiLevelType w:val="singleLevel"/>
    <w:tmpl w:val="D0047B7E"/>
    <w:lvl w:ilvl="0" w:tentative="1">
      <w:start w:val="1"/>
      <w:numFmt w:val="decimal"/>
      <w:suff w:val="nothing"/>
      <w:lvlText w:val="%1、"/>
      <w:lvlJc w:val="left"/>
    </w:lvl>
  </w:abstractNum>
  <w:abstractNum w:abstractNumId="5">
    <w:nsid w:val="00000005"/>
    <w:multiLevelType w:val="multilevel"/>
    <w:tmpl w:val="00000005"/>
    <w:lvl w:ilvl="0" w:tentative="1">
      <w:start w:val="1"/>
      <w:numFmt w:val="decimal"/>
      <w:lvlText w:val="%1."/>
      <w:lvlJc w:val="left"/>
      <w:pPr>
        <w:tabs>
          <w:tab w:val="left" w:pos="0"/>
        </w:tabs>
        <w:ind w:left="0" w:firstLine="420"/>
      </w:pPr>
      <w:rPr>
        <w:rFonts w:hint="default"/>
        <w:color w:val="auto"/>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322469374">
    <w:nsid w:val="13387DFE"/>
    <w:multiLevelType w:val="multilevel"/>
    <w:tmpl w:val="13387DFE"/>
    <w:lvl w:ilvl="0" w:tentative="1">
      <w:start w:val="1"/>
      <w:numFmt w:val="decimal"/>
      <w:lvlText w:val="%1."/>
      <w:lvlJc w:val="left"/>
      <w:pPr>
        <w:tabs>
          <w:tab w:val="left" w:pos="425"/>
        </w:tabs>
        <w:ind w:left="425" w:hanging="425"/>
      </w:pPr>
      <w:rPr>
        <w:rFonts w:hint="eastAsia" w:ascii="宋体" w:hAnsi="宋体" w:eastAsia="宋体"/>
      </w:rPr>
    </w:lvl>
    <w:lvl w:ilvl="1" w:tentative="1">
      <w:start w:val="1"/>
      <w:numFmt w:val="decimal"/>
      <w:lvlText w:val="%1.%2."/>
      <w:lvlJc w:val="left"/>
      <w:pPr>
        <w:tabs>
          <w:tab w:val="left" w:pos="567"/>
        </w:tabs>
        <w:ind w:left="567" w:hanging="567"/>
      </w:pPr>
      <w:rPr>
        <w:rFonts w:hint="eastAsia" w:ascii="宋体" w:hAnsi="宋体" w:eastAsia="宋体"/>
        <w:color w:val="auto"/>
      </w:rPr>
    </w:lvl>
    <w:lvl w:ilvl="2" w:tentative="1">
      <w:start w:val="1"/>
      <w:numFmt w:val="decimal"/>
      <w:lvlText w:val="%1.%2.%3."/>
      <w:lvlJc w:val="left"/>
      <w:pPr>
        <w:tabs>
          <w:tab w:val="left" w:pos="794"/>
        </w:tabs>
        <w:ind w:left="794" w:hanging="794"/>
      </w:pPr>
      <w:rPr>
        <w:rFonts w:hint="eastAsia" w:ascii="宋体" w:hAnsi="宋体" w:eastAsia="宋体"/>
      </w:rPr>
    </w:lvl>
    <w:lvl w:ilvl="3" w:tentative="1">
      <w:start w:val="1"/>
      <w:numFmt w:val="decimal"/>
      <w:lvlText w:val="%1.%2.%3.%4."/>
      <w:lvlJc w:val="left"/>
      <w:pPr>
        <w:tabs>
          <w:tab w:val="left" w:pos="454"/>
        </w:tabs>
        <w:ind w:left="1021" w:hanging="1021"/>
      </w:pPr>
      <w:rPr>
        <w:rFonts w:hint="eastAsia" w:ascii="宋体" w:hAnsi="宋体" w:eastAsia="宋体"/>
      </w:rPr>
    </w:lvl>
    <w:lvl w:ilvl="4" w:tentative="1">
      <w:start w:val="1"/>
      <w:numFmt w:val="decimal"/>
      <w:lvlText w:val="%1.%2.%3.%4.%5."/>
      <w:lvlJc w:val="left"/>
      <w:pPr>
        <w:tabs>
          <w:tab w:val="left" w:pos="992"/>
        </w:tabs>
        <w:ind w:left="992" w:hanging="992"/>
      </w:pPr>
      <w:rPr>
        <w:rFonts w:hint="eastAsia"/>
      </w:rPr>
    </w:lvl>
    <w:lvl w:ilvl="5" w:tentative="1">
      <w:start w:val="1"/>
      <w:numFmt w:val="decimal"/>
      <w:lvlText w:val="%1.%2.%3.%4.%5.%6."/>
      <w:lvlJc w:val="left"/>
      <w:pPr>
        <w:tabs>
          <w:tab w:val="left" w:pos="1134"/>
        </w:tabs>
        <w:ind w:left="1134" w:hanging="1134"/>
      </w:pPr>
      <w:rPr>
        <w:rFonts w:hint="eastAsia"/>
      </w:rPr>
    </w:lvl>
    <w:lvl w:ilvl="6" w:tentative="1">
      <w:start w:val="1"/>
      <w:numFmt w:val="decimal"/>
      <w:lvlText w:val="%1.%2.%3.%4.%5.%6.%7."/>
      <w:lvlJc w:val="left"/>
      <w:pPr>
        <w:tabs>
          <w:tab w:val="left" w:pos="1276"/>
        </w:tabs>
        <w:ind w:left="1276" w:hanging="1276"/>
      </w:pPr>
      <w:rPr>
        <w:rFonts w:hint="eastAsia"/>
      </w:rPr>
    </w:lvl>
    <w:lvl w:ilvl="7" w:tentative="1">
      <w:start w:val="1"/>
      <w:numFmt w:val="decimal"/>
      <w:lvlText w:val="%1.%2.%3.%4.%5.%6.%7.%8."/>
      <w:lvlJc w:val="left"/>
      <w:pPr>
        <w:tabs>
          <w:tab w:val="left" w:pos="1418"/>
        </w:tabs>
        <w:ind w:left="1418" w:hanging="1418"/>
      </w:pPr>
      <w:rPr>
        <w:rFonts w:hint="eastAsia"/>
      </w:rPr>
    </w:lvl>
    <w:lvl w:ilvl="8" w:tentative="1">
      <w:start w:val="1"/>
      <w:numFmt w:val="decimal"/>
      <w:lvlText w:val="%1.%2.%3.%4.%5.%6.%7.%8.%9."/>
      <w:lvlJc w:val="left"/>
      <w:pPr>
        <w:tabs>
          <w:tab w:val="left" w:pos="1559"/>
        </w:tabs>
        <w:ind w:left="1559" w:hanging="1559"/>
      </w:pPr>
      <w:rPr>
        <w:rFonts w:hint="eastAsia"/>
      </w:rPr>
    </w:lvl>
  </w:abstractNum>
  <w:abstractNum w:abstractNumId="1561672097">
    <w:nsid w:val="5D1539A1"/>
    <w:multiLevelType w:val="multilevel"/>
    <w:tmpl w:val="5D1539A1"/>
    <w:lvl w:ilvl="0" w:tentative="1">
      <w:start w:val="1"/>
      <w:numFmt w:val="decimal"/>
      <w:lvlText w:val="（%1）"/>
      <w:lvlJc w:val="left"/>
      <w:pPr>
        <w:ind w:left="1287" w:hanging="720"/>
      </w:pPr>
      <w:rPr>
        <w:rFonts w:hint="default"/>
      </w:rPr>
    </w:lvl>
    <w:lvl w:ilvl="1" w:tentative="1">
      <w:start w:val="1"/>
      <w:numFmt w:val="lowerLetter"/>
      <w:lvlText w:val="%2)"/>
      <w:lvlJc w:val="left"/>
      <w:pPr>
        <w:ind w:left="1407" w:hanging="420"/>
      </w:p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1050425046">
    <w:nsid w:val="3E9C36D6"/>
    <w:multiLevelType w:val="multilevel"/>
    <w:tmpl w:val="3E9C36D6"/>
    <w:lvl w:ilvl="0" w:tentative="1">
      <w:start w:val="1"/>
      <w:numFmt w:val="bullet"/>
      <w:lvlText w:val=""/>
      <w:lvlJc w:val="left"/>
      <w:pPr>
        <w:ind w:left="980" w:hanging="420"/>
      </w:pPr>
      <w:rPr>
        <w:rFonts w:hint="default" w:ascii="Wingdings" w:hAnsi="Wingdings"/>
      </w:rPr>
    </w:lvl>
    <w:lvl w:ilvl="1" w:tentative="1">
      <w:start w:val="1"/>
      <w:numFmt w:val="bullet"/>
      <w:lvlText w:val=""/>
      <w:lvlJc w:val="left"/>
      <w:pPr>
        <w:ind w:left="1400" w:hanging="420"/>
      </w:pPr>
      <w:rPr>
        <w:rFonts w:hint="default" w:ascii="Wingdings" w:hAnsi="Wingdings"/>
      </w:rPr>
    </w:lvl>
    <w:lvl w:ilvl="2" w:tentative="1">
      <w:start w:val="1"/>
      <w:numFmt w:val="bullet"/>
      <w:lvlText w:val=""/>
      <w:lvlJc w:val="left"/>
      <w:pPr>
        <w:ind w:left="1820" w:hanging="420"/>
      </w:pPr>
      <w:rPr>
        <w:rFonts w:hint="default" w:ascii="Wingdings" w:hAnsi="Wingdings"/>
      </w:rPr>
    </w:lvl>
    <w:lvl w:ilvl="3" w:tentative="1">
      <w:start w:val="1"/>
      <w:numFmt w:val="bullet"/>
      <w:lvlText w:val=""/>
      <w:lvlJc w:val="left"/>
      <w:pPr>
        <w:ind w:left="2240" w:hanging="420"/>
      </w:pPr>
      <w:rPr>
        <w:rFonts w:hint="default" w:ascii="Wingdings" w:hAnsi="Wingdings"/>
      </w:rPr>
    </w:lvl>
    <w:lvl w:ilvl="4" w:tentative="1">
      <w:start w:val="1"/>
      <w:numFmt w:val="bullet"/>
      <w:lvlText w:val=""/>
      <w:lvlJc w:val="left"/>
      <w:pPr>
        <w:ind w:left="2660" w:hanging="420"/>
      </w:pPr>
      <w:rPr>
        <w:rFonts w:hint="default" w:ascii="Wingdings" w:hAnsi="Wingdings"/>
      </w:rPr>
    </w:lvl>
    <w:lvl w:ilvl="5" w:tentative="1">
      <w:start w:val="1"/>
      <w:numFmt w:val="bullet"/>
      <w:lvlText w:val=""/>
      <w:lvlJc w:val="left"/>
      <w:pPr>
        <w:ind w:left="3080" w:hanging="420"/>
      </w:pPr>
      <w:rPr>
        <w:rFonts w:hint="default" w:ascii="Wingdings" w:hAnsi="Wingdings"/>
      </w:rPr>
    </w:lvl>
    <w:lvl w:ilvl="6" w:tentative="1">
      <w:start w:val="1"/>
      <w:numFmt w:val="bullet"/>
      <w:lvlText w:val=""/>
      <w:lvlJc w:val="left"/>
      <w:pPr>
        <w:ind w:left="3500" w:hanging="420"/>
      </w:pPr>
      <w:rPr>
        <w:rFonts w:hint="default" w:ascii="Wingdings" w:hAnsi="Wingdings"/>
      </w:rPr>
    </w:lvl>
    <w:lvl w:ilvl="7" w:tentative="1">
      <w:start w:val="1"/>
      <w:numFmt w:val="bullet"/>
      <w:lvlText w:val=""/>
      <w:lvlJc w:val="left"/>
      <w:pPr>
        <w:ind w:left="3920" w:hanging="420"/>
      </w:pPr>
      <w:rPr>
        <w:rFonts w:hint="default" w:ascii="Wingdings" w:hAnsi="Wingdings"/>
      </w:rPr>
    </w:lvl>
    <w:lvl w:ilvl="8" w:tentative="1">
      <w:start w:val="1"/>
      <w:numFmt w:val="bullet"/>
      <w:lvlText w:val=""/>
      <w:lvlJc w:val="left"/>
      <w:pPr>
        <w:ind w:left="4340" w:hanging="420"/>
      </w:pPr>
      <w:rPr>
        <w:rFonts w:hint="default" w:ascii="Wingdings" w:hAnsi="Wingdings"/>
      </w:rPr>
    </w:lvl>
  </w:abstractNum>
  <w:abstractNum w:abstractNumId="1459032521">
    <w:nsid w:val="56F711C9"/>
    <w:multiLevelType w:val="multilevel"/>
    <w:tmpl w:val="56F711C9"/>
    <w:lvl w:ilvl="0" w:tentative="1">
      <w:start w:val="1"/>
      <w:numFmt w:val="decimal"/>
      <w:lvlText w:val="%1."/>
      <w:lvlJc w:val="left"/>
      <w:pPr>
        <w:tabs>
          <w:tab w:val="left" w:pos="720"/>
        </w:tabs>
        <w:ind w:left="720" w:hanging="720"/>
      </w:pPr>
    </w:lvl>
    <w:lvl w:ilvl="1" w:tentative="1">
      <w:start w:val="1"/>
      <w:numFmt w:val="decimal"/>
      <w:lvlText w:val="%2."/>
      <w:lvlJc w:val="left"/>
      <w:pPr>
        <w:tabs>
          <w:tab w:val="left" w:pos="1440"/>
        </w:tabs>
        <w:ind w:left="1440" w:hanging="720"/>
      </w:pPr>
    </w:lvl>
    <w:lvl w:ilvl="2" w:tentative="1">
      <w:start w:val="1"/>
      <w:numFmt w:val="decimal"/>
      <w:lvlText w:val="%3."/>
      <w:lvlJc w:val="left"/>
      <w:pPr>
        <w:tabs>
          <w:tab w:val="left" w:pos="2160"/>
        </w:tabs>
        <w:ind w:left="2160" w:hanging="720"/>
      </w:pPr>
    </w:lvl>
    <w:lvl w:ilvl="3" w:tentative="1">
      <w:start w:val="1"/>
      <w:numFmt w:val="decimal"/>
      <w:lvlText w:val="%4."/>
      <w:lvlJc w:val="left"/>
      <w:pPr>
        <w:tabs>
          <w:tab w:val="left" w:pos="2880"/>
        </w:tabs>
        <w:ind w:left="2880" w:hanging="720"/>
      </w:pPr>
    </w:lvl>
    <w:lvl w:ilvl="4" w:tentative="1">
      <w:start w:val="1"/>
      <w:numFmt w:val="decimal"/>
      <w:lvlText w:val="%5."/>
      <w:lvlJc w:val="left"/>
      <w:pPr>
        <w:tabs>
          <w:tab w:val="left" w:pos="3600"/>
        </w:tabs>
        <w:ind w:left="3600" w:hanging="720"/>
      </w:pPr>
    </w:lvl>
    <w:lvl w:ilvl="5" w:tentative="1">
      <w:start w:val="1"/>
      <w:numFmt w:val="decimal"/>
      <w:lvlText w:val="%6."/>
      <w:lvlJc w:val="left"/>
      <w:pPr>
        <w:tabs>
          <w:tab w:val="left" w:pos="4320"/>
        </w:tabs>
        <w:ind w:left="4320" w:hanging="720"/>
      </w:pPr>
    </w:lvl>
    <w:lvl w:ilvl="6" w:tentative="1">
      <w:start w:val="1"/>
      <w:numFmt w:val="decimal"/>
      <w:lvlText w:val="%7."/>
      <w:lvlJc w:val="left"/>
      <w:pPr>
        <w:tabs>
          <w:tab w:val="left" w:pos="5040"/>
        </w:tabs>
        <w:ind w:left="5040" w:hanging="720"/>
      </w:pPr>
    </w:lvl>
    <w:lvl w:ilvl="7" w:tentative="1">
      <w:start w:val="1"/>
      <w:numFmt w:val="decimal"/>
      <w:lvlText w:val="%8."/>
      <w:lvlJc w:val="left"/>
      <w:pPr>
        <w:tabs>
          <w:tab w:val="left" w:pos="5760"/>
        </w:tabs>
        <w:ind w:left="5760" w:hanging="720"/>
      </w:pPr>
    </w:lvl>
    <w:lvl w:ilvl="8" w:tentative="1">
      <w:start w:val="1"/>
      <w:numFmt w:val="decimal"/>
      <w:lvlText w:val="%9."/>
      <w:lvlJc w:val="left"/>
      <w:pPr>
        <w:tabs>
          <w:tab w:val="left" w:pos="6480"/>
        </w:tabs>
        <w:ind w:left="6480" w:hanging="720"/>
      </w:pPr>
    </w:lvl>
  </w:abstractNum>
  <w:abstractNum w:abstractNumId="1545092528">
    <w:nsid w:val="5C183DB0"/>
    <w:multiLevelType w:val="multilevel"/>
    <w:tmpl w:val="5C183DB0"/>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18456997">
    <w:nsid w:val="784F35A5"/>
    <w:multiLevelType w:val="multilevel"/>
    <w:tmpl w:val="784F35A5"/>
    <w:lvl w:ilvl="0" w:tentative="1">
      <w:start w:val="1"/>
      <w:numFmt w:val="bullet"/>
      <w:lvlText w:val=""/>
      <w:lvlJc w:val="left"/>
      <w:pPr>
        <w:ind w:left="980" w:hanging="420"/>
      </w:pPr>
      <w:rPr>
        <w:rFonts w:hint="default" w:ascii="Wingdings" w:hAnsi="Wingdings"/>
      </w:rPr>
    </w:lvl>
    <w:lvl w:ilvl="1" w:tentative="1">
      <w:start w:val="1"/>
      <w:numFmt w:val="bullet"/>
      <w:lvlText w:val=""/>
      <w:lvlJc w:val="left"/>
      <w:pPr>
        <w:ind w:left="1400" w:hanging="420"/>
      </w:pPr>
      <w:rPr>
        <w:rFonts w:hint="default" w:ascii="Wingdings" w:hAnsi="Wingdings"/>
      </w:rPr>
    </w:lvl>
    <w:lvl w:ilvl="2" w:tentative="1">
      <w:start w:val="1"/>
      <w:numFmt w:val="bullet"/>
      <w:lvlText w:val=""/>
      <w:lvlJc w:val="left"/>
      <w:pPr>
        <w:ind w:left="1820" w:hanging="420"/>
      </w:pPr>
      <w:rPr>
        <w:rFonts w:hint="default" w:ascii="Wingdings" w:hAnsi="Wingdings"/>
      </w:rPr>
    </w:lvl>
    <w:lvl w:ilvl="3" w:tentative="1">
      <w:start w:val="1"/>
      <w:numFmt w:val="bullet"/>
      <w:lvlText w:val=""/>
      <w:lvlJc w:val="left"/>
      <w:pPr>
        <w:ind w:left="2240" w:hanging="420"/>
      </w:pPr>
      <w:rPr>
        <w:rFonts w:hint="default" w:ascii="Wingdings" w:hAnsi="Wingdings"/>
      </w:rPr>
    </w:lvl>
    <w:lvl w:ilvl="4" w:tentative="1">
      <w:start w:val="1"/>
      <w:numFmt w:val="bullet"/>
      <w:lvlText w:val=""/>
      <w:lvlJc w:val="left"/>
      <w:pPr>
        <w:ind w:left="2660" w:hanging="420"/>
      </w:pPr>
      <w:rPr>
        <w:rFonts w:hint="default" w:ascii="Wingdings" w:hAnsi="Wingdings"/>
      </w:rPr>
    </w:lvl>
    <w:lvl w:ilvl="5" w:tentative="1">
      <w:start w:val="1"/>
      <w:numFmt w:val="bullet"/>
      <w:lvlText w:val=""/>
      <w:lvlJc w:val="left"/>
      <w:pPr>
        <w:ind w:left="3080" w:hanging="420"/>
      </w:pPr>
      <w:rPr>
        <w:rFonts w:hint="default" w:ascii="Wingdings" w:hAnsi="Wingdings"/>
      </w:rPr>
    </w:lvl>
    <w:lvl w:ilvl="6" w:tentative="1">
      <w:start w:val="1"/>
      <w:numFmt w:val="bullet"/>
      <w:lvlText w:val=""/>
      <w:lvlJc w:val="left"/>
      <w:pPr>
        <w:ind w:left="3500" w:hanging="420"/>
      </w:pPr>
      <w:rPr>
        <w:rFonts w:hint="default" w:ascii="Wingdings" w:hAnsi="Wingdings"/>
      </w:rPr>
    </w:lvl>
    <w:lvl w:ilvl="7" w:tentative="1">
      <w:start w:val="1"/>
      <w:numFmt w:val="bullet"/>
      <w:lvlText w:val=""/>
      <w:lvlJc w:val="left"/>
      <w:pPr>
        <w:ind w:left="3920" w:hanging="420"/>
      </w:pPr>
      <w:rPr>
        <w:rFonts w:hint="default" w:ascii="Wingdings" w:hAnsi="Wingdings"/>
      </w:rPr>
    </w:lvl>
    <w:lvl w:ilvl="8" w:tentative="1">
      <w:start w:val="1"/>
      <w:numFmt w:val="bullet"/>
      <w:lvlText w:val=""/>
      <w:lvlJc w:val="left"/>
      <w:pPr>
        <w:ind w:left="4340" w:hanging="420"/>
      </w:pPr>
      <w:rPr>
        <w:rFonts w:hint="default" w:ascii="Wingdings" w:hAnsi="Wingdings"/>
      </w:rPr>
    </w:lvl>
  </w:abstractNum>
  <w:abstractNum w:abstractNumId="3768514273">
    <w:nsid w:val="E09EF6E1"/>
    <w:multiLevelType w:val="singleLevel"/>
    <w:tmpl w:val="E09EF6E1"/>
    <w:lvl w:ilvl="0" w:tentative="1">
      <w:start w:val="1"/>
      <w:numFmt w:val="decimal"/>
      <w:suff w:val="nothing"/>
      <w:lvlText w:val="（%1）"/>
      <w:lvlJc w:val="left"/>
    </w:lvl>
  </w:abstractNum>
  <w:abstractNum w:abstractNumId="1563904144">
    <w:nsid w:val="5D374890"/>
    <w:multiLevelType w:val="multilevel"/>
    <w:tmpl w:val="5D374890"/>
    <w:lvl w:ilvl="0" w:tentative="1">
      <w:start w:val="1"/>
      <w:numFmt w:val="bullet"/>
      <w:lvlText w:val=""/>
      <w:lvlJc w:val="left"/>
      <w:pPr>
        <w:ind w:left="980" w:hanging="420"/>
      </w:pPr>
      <w:rPr>
        <w:rFonts w:hint="default" w:ascii="Wingdings" w:hAnsi="Wingdings"/>
      </w:rPr>
    </w:lvl>
    <w:lvl w:ilvl="1" w:tentative="1">
      <w:start w:val="1"/>
      <w:numFmt w:val="bullet"/>
      <w:lvlText w:val=""/>
      <w:lvlJc w:val="left"/>
      <w:pPr>
        <w:ind w:left="1400" w:hanging="420"/>
      </w:pPr>
      <w:rPr>
        <w:rFonts w:hint="default" w:ascii="Wingdings" w:hAnsi="Wingdings"/>
      </w:rPr>
    </w:lvl>
    <w:lvl w:ilvl="2" w:tentative="1">
      <w:start w:val="1"/>
      <w:numFmt w:val="bullet"/>
      <w:lvlText w:val=""/>
      <w:lvlJc w:val="left"/>
      <w:pPr>
        <w:ind w:left="1820" w:hanging="420"/>
      </w:pPr>
      <w:rPr>
        <w:rFonts w:hint="default" w:ascii="Wingdings" w:hAnsi="Wingdings"/>
      </w:rPr>
    </w:lvl>
    <w:lvl w:ilvl="3" w:tentative="1">
      <w:start w:val="1"/>
      <w:numFmt w:val="bullet"/>
      <w:lvlText w:val=""/>
      <w:lvlJc w:val="left"/>
      <w:pPr>
        <w:ind w:left="2240" w:hanging="420"/>
      </w:pPr>
      <w:rPr>
        <w:rFonts w:hint="default" w:ascii="Wingdings" w:hAnsi="Wingdings"/>
      </w:rPr>
    </w:lvl>
    <w:lvl w:ilvl="4" w:tentative="1">
      <w:start w:val="1"/>
      <w:numFmt w:val="bullet"/>
      <w:lvlText w:val=""/>
      <w:lvlJc w:val="left"/>
      <w:pPr>
        <w:ind w:left="2660" w:hanging="420"/>
      </w:pPr>
      <w:rPr>
        <w:rFonts w:hint="default" w:ascii="Wingdings" w:hAnsi="Wingdings"/>
      </w:rPr>
    </w:lvl>
    <w:lvl w:ilvl="5" w:tentative="1">
      <w:start w:val="1"/>
      <w:numFmt w:val="bullet"/>
      <w:lvlText w:val=""/>
      <w:lvlJc w:val="left"/>
      <w:pPr>
        <w:ind w:left="3080" w:hanging="420"/>
      </w:pPr>
      <w:rPr>
        <w:rFonts w:hint="default" w:ascii="Wingdings" w:hAnsi="Wingdings"/>
      </w:rPr>
    </w:lvl>
    <w:lvl w:ilvl="6" w:tentative="1">
      <w:start w:val="1"/>
      <w:numFmt w:val="bullet"/>
      <w:lvlText w:val=""/>
      <w:lvlJc w:val="left"/>
      <w:pPr>
        <w:ind w:left="3500" w:hanging="420"/>
      </w:pPr>
      <w:rPr>
        <w:rFonts w:hint="default" w:ascii="Wingdings" w:hAnsi="Wingdings"/>
      </w:rPr>
    </w:lvl>
    <w:lvl w:ilvl="7" w:tentative="1">
      <w:start w:val="1"/>
      <w:numFmt w:val="bullet"/>
      <w:lvlText w:val=""/>
      <w:lvlJc w:val="left"/>
      <w:pPr>
        <w:ind w:left="3920" w:hanging="420"/>
      </w:pPr>
      <w:rPr>
        <w:rFonts w:hint="default" w:ascii="Wingdings" w:hAnsi="Wingdings"/>
      </w:rPr>
    </w:lvl>
    <w:lvl w:ilvl="8" w:tentative="1">
      <w:start w:val="1"/>
      <w:numFmt w:val="bullet"/>
      <w:lvlText w:val=""/>
      <w:lvlJc w:val="left"/>
      <w:pPr>
        <w:ind w:left="4340" w:hanging="420"/>
      </w:pPr>
      <w:rPr>
        <w:rFonts w:hint="default" w:ascii="Wingdings" w:hAnsi="Wingdings"/>
      </w:rPr>
    </w:lvl>
  </w:abstractNum>
  <w:num w:numId="1">
    <w:abstractNumId w:val="545987988"/>
  </w:num>
  <w:num w:numId="2">
    <w:abstractNumId w:val="2018456997"/>
  </w:num>
  <w:num w:numId="3">
    <w:abstractNumId w:val="951522362"/>
  </w:num>
  <w:num w:numId="4">
    <w:abstractNumId w:val="1563904144"/>
  </w:num>
  <w:num w:numId="5">
    <w:abstractNumId w:val="1275404029"/>
  </w:num>
  <w:num w:numId="6">
    <w:abstractNumId w:val="1050425046"/>
  </w:num>
  <w:num w:numId="7">
    <w:abstractNumId w:val="1476871659"/>
  </w:num>
  <w:num w:numId="8">
    <w:abstractNumId w:val="322469374"/>
  </w:num>
  <w:num w:numId="9">
    <w:abstractNumId w:val="1561672097"/>
  </w:num>
  <w:num w:numId="10">
    <w:abstractNumId w:val="1065903662"/>
  </w:num>
  <w:num w:numId="11">
    <w:abstractNumId w:val="3768514273"/>
  </w:num>
  <w:num w:numId="12">
    <w:abstractNumId w:val="3488707749"/>
  </w:num>
  <w:num w:numId="13">
    <w:abstractNumId w:val="5"/>
  </w:num>
  <w:num w:numId="14">
    <w:abstractNumId w:val="1459032521"/>
  </w:num>
  <w:num w:numId="15">
    <w:abstractNumId w:val="3489954686"/>
  </w:num>
  <w:num w:numId="16">
    <w:abstractNumId w:val="15450925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spaceForUL/>
    <w:doNotLeaveBackslashAlone/>
    <w:ulTrailSpace/>
    <w:doNotExpandShiftReturn/>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64F6B"/>
    <w:rsid w:val="00006462"/>
    <w:rsid w:val="000300E4"/>
    <w:rsid w:val="0003307E"/>
    <w:rsid w:val="000336BA"/>
    <w:rsid w:val="000359A1"/>
    <w:rsid w:val="0007500F"/>
    <w:rsid w:val="0008282E"/>
    <w:rsid w:val="000A363F"/>
    <w:rsid w:val="000A42A8"/>
    <w:rsid w:val="000A5063"/>
    <w:rsid w:val="000A5DBD"/>
    <w:rsid w:val="000B0CC9"/>
    <w:rsid w:val="000C4524"/>
    <w:rsid w:val="000D44A6"/>
    <w:rsid w:val="000F0E98"/>
    <w:rsid w:val="001049A5"/>
    <w:rsid w:val="001242F3"/>
    <w:rsid w:val="00134CAD"/>
    <w:rsid w:val="001355C3"/>
    <w:rsid w:val="0013730B"/>
    <w:rsid w:val="00137853"/>
    <w:rsid w:val="00137E1C"/>
    <w:rsid w:val="00147012"/>
    <w:rsid w:val="00173126"/>
    <w:rsid w:val="00173905"/>
    <w:rsid w:val="00173E04"/>
    <w:rsid w:val="00175D29"/>
    <w:rsid w:val="001844F4"/>
    <w:rsid w:val="00185039"/>
    <w:rsid w:val="00192E06"/>
    <w:rsid w:val="001A06D8"/>
    <w:rsid w:val="001A2D42"/>
    <w:rsid w:val="001A2EF7"/>
    <w:rsid w:val="001B41CF"/>
    <w:rsid w:val="001B5860"/>
    <w:rsid w:val="001C1135"/>
    <w:rsid w:val="001C15AE"/>
    <w:rsid w:val="001C4661"/>
    <w:rsid w:val="001C55E7"/>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0F0D"/>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12BDB"/>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1A55"/>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527"/>
    <w:rsid w:val="009E398C"/>
    <w:rsid w:val="009E6F05"/>
    <w:rsid w:val="00A10906"/>
    <w:rsid w:val="00A14EEF"/>
    <w:rsid w:val="00A61230"/>
    <w:rsid w:val="00A813C5"/>
    <w:rsid w:val="00A824E6"/>
    <w:rsid w:val="00A858DC"/>
    <w:rsid w:val="00A94D14"/>
    <w:rsid w:val="00AA123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026F"/>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38EE"/>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01E08"/>
    <w:rsid w:val="00E21B77"/>
    <w:rsid w:val="00E40CAD"/>
    <w:rsid w:val="00E61D2E"/>
    <w:rsid w:val="00E62B7F"/>
    <w:rsid w:val="00E726BC"/>
    <w:rsid w:val="00E72821"/>
    <w:rsid w:val="00E75113"/>
    <w:rsid w:val="00E81DDC"/>
    <w:rsid w:val="00E81F67"/>
    <w:rsid w:val="00E83650"/>
    <w:rsid w:val="00E83A31"/>
    <w:rsid w:val="00E97CC0"/>
    <w:rsid w:val="00EA2524"/>
    <w:rsid w:val="00EB2290"/>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743E6"/>
    <w:rsid w:val="00F97062"/>
    <w:rsid w:val="00F9745D"/>
    <w:rsid w:val="00FC7B53"/>
    <w:rsid w:val="00FD48CC"/>
    <w:rsid w:val="00FE62D1"/>
    <w:rsid w:val="00FF26BF"/>
    <w:rsid w:val="018023CE"/>
    <w:rsid w:val="01881AD6"/>
    <w:rsid w:val="02A741FD"/>
    <w:rsid w:val="02C16E5D"/>
    <w:rsid w:val="02D964CF"/>
    <w:rsid w:val="03707410"/>
    <w:rsid w:val="03A0770F"/>
    <w:rsid w:val="03A448B8"/>
    <w:rsid w:val="04575547"/>
    <w:rsid w:val="047B4012"/>
    <w:rsid w:val="04DF1036"/>
    <w:rsid w:val="05A97DEC"/>
    <w:rsid w:val="05B23978"/>
    <w:rsid w:val="05C81981"/>
    <w:rsid w:val="06BC41F2"/>
    <w:rsid w:val="07197D08"/>
    <w:rsid w:val="071E5C55"/>
    <w:rsid w:val="077005AB"/>
    <w:rsid w:val="078F4581"/>
    <w:rsid w:val="07BF027F"/>
    <w:rsid w:val="07D07F2B"/>
    <w:rsid w:val="08031A31"/>
    <w:rsid w:val="082D26B4"/>
    <w:rsid w:val="09061A75"/>
    <w:rsid w:val="09182241"/>
    <w:rsid w:val="09855177"/>
    <w:rsid w:val="0AA534D5"/>
    <w:rsid w:val="0AA650EB"/>
    <w:rsid w:val="0AF47339"/>
    <w:rsid w:val="0B22594B"/>
    <w:rsid w:val="0BDF26F7"/>
    <w:rsid w:val="0C2B4952"/>
    <w:rsid w:val="0C7B2220"/>
    <w:rsid w:val="0CC222FA"/>
    <w:rsid w:val="0D133046"/>
    <w:rsid w:val="0D890E47"/>
    <w:rsid w:val="0DC64A00"/>
    <w:rsid w:val="0DFC60BA"/>
    <w:rsid w:val="0F7C5FF6"/>
    <w:rsid w:val="0FC63FBD"/>
    <w:rsid w:val="0FFD3244"/>
    <w:rsid w:val="106C564D"/>
    <w:rsid w:val="107B7B8F"/>
    <w:rsid w:val="107C67CE"/>
    <w:rsid w:val="109D68CB"/>
    <w:rsid w:val="10A949B8"/>
    <w:rsid w:val="11200D07"/>
    <w:rsid w:val="11DA73AF"/>
    <w:rsid w:val="12B006A4"/>
    <w:rsid w:val="12C60D80"/>
    <w:rsid w:val="131F7A3A"/>
    <w:rsid w:val="132645D0"/>
    <w:rsid w:val="13455ABC"/>
    <w:rsid w:val="135624DC"/>
    <w:rsid w:val="1370322B"/>
    <w:rsid w:val="143B2E0B"/>
    <w:rsid w:val="14892735"/>
    <w:rsid w:val="14CC769D"/>
    <w:rsid w:val="151C1B99"/>
    <w:rsid w:val="15D359D7"/>
    <w:rsid w:val="163C77BE"/>
    <w:rsid w:val="1679588C"/>
    <w:rsid w:val="16994962"/>
    <w:rsid w:val="16A71041"/>
    <w:rsid w:val="16AA24BF"/>
    <w:rsid w:val="16D329EC"/>
    <w:rsid w:val="17680CAB"/>
    <w:rsid w:val="176E4128"/>
    <w:rsid w:val="1783371F"/>
    <w:rsid w:val="17E62B67"/>
    <w:rsid w:val="180F4499"/>
    <w:rsid w:val="18221ECE"/>
    <w:rsid w:val="183C3D90"/>
    <w:rsid w:val="19036729"/>
    <w:rsid w:val="1A460CF5"/>
    <w:rsid w:val="1A7F297D"/>
    <w:rsid w:val="1AB16AC1"/>
    <w:rsid w:val="1B034A52"/>
    <w:rsid w:val="1B0D3B4E"/>
    <w:rsid w:val="1B6D79D0"/>
    <w:rsid w:val="1C750ECE"/>
    <w:rsid w:val="1CE44F73"/>
    <w:rsid w:val="1D196139"/>
    <w:rsid w:val="1E010AF7"/>
    <w:rsid w:val="1E301173"/>
    <w:rsid w:val="1F43381C"/>
    <w:rsid w:val="1FA4148D"/>
    <w:rsid w:val="1FE84AD6"/>
    <w:rsid w:val="20121621"/>
    <w:rsid w:val="204E554F"/>
    <w:rsid w:val="20590035"/>
    <w:rsid w:val="20FC799E"/>
    <w:rsid w:val="21286DA7"/>
    <w:rsid w:val="21434D8C"/>
    <w:rsid w:val="2187314A"/>
    <w:rsid w:val="22154DDD"/>
    <w:rsid w:val="22336873"/>
    <w:rsid w:val="224A683F"/>
    <w:rsid w:val="23287C3C"/>
    <w:rsid w:val="23BB4E7D"/>
    <w:rsid w:val="23C172D6"/>
    <w:rsid w:val="23E6195D"/>
    <w:rsid w:val="23F04F64"/>
    <w:rsid w:val="24814CBE"/>
    <w:rsid w:val="24A45317"/>
    <w:rsid w:val="24AC168B"/>
    <w:rsid w:val="254D0389"/>
    <w:rsid w:val="258C3BEC"/>
    <w:rsid w:val="25E5427A"/>
    <w:rsid w:val="26327104"/>
    <w:rsid w:val="263B1230"/>
    <w:rsid w:val="26B1001F"/>
    <w:rsid w:val="27B36A67"/>
    <w:rsid w:val="27EC19CB"/>
    <w:rsid w:val="2846581F"/>
    <w:rsid w:val="286602C8"/>
    <w:rsid w:val="28665C95"/>
    <w:rsid w:val="28F579BA"/>
    <w:rsid w:val="290B3EB9"/>
    <w:rsid w:val="2950768C"/>
    <w:rsid w:val="297A5FC4"/>
    <w:rsid w:val="2A8D4F8F"/>
    <w:rsid w:val="2A917B34"/>
    <w:rsid w:val="2AE3766F"/>
    <w:rsid w:val="2B1A3AE8"/>
    <w:rsid w:val="2B7E4054"/>
    <w:rsid w:val="2C987C56"/>
    <w:rsid w:val="2CE636B8"/>
    <w:rsid w:val="2CFF149A"/>
    <w:rsid w:val="2D201865"/>
    <w:rsid w:val="2D4B5CEA"/>
    <w:rsid w:val="2D652658"/>
    <w:rsid w:val="2D8826A5"/>
    <w:rsid w:val="2DC80C49"/>
    <w:rsid w:val="2DCA6355"/>
    <w:rsid w:val="2E166748"/>
    <w:rsid w:val="2E556F01"/>
    <w:rsid w:val="2E8E20B4"/>
    <w:rsid w:val="2EA01834"/>
    <w:rsid w:val="2EA81517"/>
    <w:rsid w:val="2ED06066"/>
    <w:rsid w:val="2ED1223D"/>
    <w:rsid w:val="2F000139"/>
    <w:rsid w:val="2F9F42DC"/>
    <w:rsid w:val="2FC068F6"/>
    <w:rsid w:val="2FF37AB3"/>
    <w:rsid w:val="30224DF6"/>
    <w:rsid w:val="30322AC2"/>
    <w:rsid w:val="31170995"/>
    <w:rsid w:val="31264A30"/>
    <w:rsid w:val="31884E67"/>
    <w:rsid w:val="31A0275E"/>
    <w:rsid w:val="3283511E"/>
    <w:rsid w:val="32AB70C5"/>
    <w:rsid w:val="33186FD0"/>
    <w:rsid w:val="335D0AF5"/>
    <w:rsid w:val="3370088C"/>
    <w:rsid w:val="33DC2F78"/>
    <w:rsid w:val="33E45C15"/>
    <w:rsid w:val="3428227C"/>
    <w:rsid w:val="35602226"/>
    <w:rsid w:val="356B72E7"/>
    <w:rsid w:val="3572424F"/>
    <w:rsid w:val="35A728B0"/>
    <w:rsid w:val="367801A9"/>
    <w:rsid w:val="36AD519D"/>
    <w:rsid w:val="36B57705"/>
    <w:rsid w:val="37122320"/>
    <w:rsid w:val="37A103ED"/>
    <w:rsid w:val="37A52A96"/>
    <w:rsid w:val="37EA5E6E"/>
    <w:rsid w:val="37FF016F"/>
    <w:rsid w:val="387C5ABE"/>
    <w:rsid w:val="38EB6119"/>
    <w:rsid w:val="3A166F4B"/>
    <w:rsid w:val="3A51228C"/>
    <w:rsid w:val="3A552E60"/>
    <w:rsid w:val="3A5D642F"/>
    <w:rsid w:val="3AB210FC"/>
    <w:rsid w:val="3B793A48"/>
    <w:rsid w:val="3BCD72F7"/>
    <w:rsid w:val="3C356F45"/>
    <w:rsid w:val="3C3D3625"/>
    <w:rsid w:val="3C414142"/>
    <w:rsid w:val="3CF737A2"/>
    <w:rsid w:val="3D10295A"/>
    <w:rsid w:val="3E0572FD"/>
    <w:rsid w:val="3E5A7FE7"/>
    <w:rsid w:val="3ED92660"/>
    <w:rsid w:val="3EF66B2E"/>
    <w:rsid w:val="3F217914"/>
    <w:rsid w:val="3F757EDE"/>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3904F1"/>
    <w:rsid w:val="4571374F"/>
    <w:rsid w:val="458B1BB0"/>
    <w:rsid w:val="45BC5E35"/>
    <w:rsid w:val="467A0297"/>
    <w:rsid w:val="468B7125"/>
    <w:rsid w:val="46C4691F"/>
    <w:rsid w:val="473A6F51"/>
    <w:rsid w:val="47830DE1"/>
    <w:rsid w:val="479D1D34"/>
    <w:rsid w:val="47B609C0"/>
    <w:rsid w:val="482D31EA"/>
    <w:rsid w:val="485970A0"/>
    <w:rsid w:val="48823516"/>
    <w:rsid w:val="48B65C71"/>
    <w:rsid w:val="492E6A57"/>
    <w:rsid w:val="49F113DE"/>
    <w:rsid w:val="4A0030EE"/>
    <w:rsid w:val="4B8C2DEB"/>
    <w:rsid w:val="4BFA3C9F"/>
    <w:rsid w:val="4C107F48"/>
    <w:rsid w:val="4C3277BC"/>
    <w:rsid w:val="4CC353EB"/>
    <w:rsid w:val="4CF36F3C"/>
    <w:rsid w:val="4D441F51"/>
    <w:rsid w:val="4D603399"/>
    <w:rsid w:val="4D867EE1"/>
    <w:rsid w:val="4DBC4C65"/>
    <w:rsid w:val="4E550010"/>
    <w:rsid w:val="4E5F14CB"/>
    <w:rsid w:val="4F3705F8"/>
    <w:rsid w:val="4FAC3540"/>
    <w:rsid w:val="4FCF1583"/>
    <w:rsid w:val="4FFA7625"/>
    <w:rsid w:val="507D2599"/>
    <w:rsid w:val="50896757"/>
    <w:rsid w:val="5096229D"/>
    <w:rsid w:val="50AA71CF"/>
    <w:rsid w:val="50DC4184"/>
    <w:rsid w:val="514C3EA7"/>
    <w:rsid w:val="52AC4ABC"/>
    <w:rsid w:val="52B97435"/>
    <w:rsid w:val="53213F70"/>
    <w:rsid w:val="539C1B81"/>
    <w:rsid w:val="53A447B1"/>
    <w:rsid w:val="53AE750F"/>
    <w:rsid w:val="549A6BFA"/>
    <w:rsid w:val="55FA2961"/>
    <w:rsid w:val="564220BA"/>
    <w:rsid w:val="565E7F4F"/>
    <w:rsid w:val="56914056"/>
    <w:rsid w:val="57293C95"/>
    <w:rsid w:val="579D72A6"/>
    <w:rsid w:val="57F65317"/>
    <w:rsid w:val="57FC2169"/>
    <w:rsid w:val="58096275"/>
    <w:rsid w:val="582E6EF7"/>
    <w:rsid w:val="584E30E6"/>
    <w:rsid w:val="5911172D"/>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6C5A05"/>
    <w:rsid w:val="5E843793"/>
    <w:rsid w:val="5EA06921"/>
    <w:rsid w:val="5FBA1B9B"/>
    <w:rsid w:val="5FBE370A"/>
    <w:rsid w:val="60292845"/>
    <w:rsid w:val="612E1A5D"/>
    <w:rsid w:val="61816046"/>
    <w:rsid w:val="62391564"/>
    <w:rsid w:val="62816669"/>
    <w:rsid w:val="62BA0953"/>
    <w:rsid w:val="62D03A7C"/>
    <w:rsid w:val="62F648FE"/>
    <w:rsid w:val="63A10995"/>
    <w:rsid w:val="63A13700"/>
    <w:rsid w:val="63B92874"/>
    <w:rsid w:val="63C23EFA"/>
    <w:rsid w:val="643A070A"/>
    <w:rsid w:val="644C573D"/>
    <w:rsid w:val="65032F85"/>
    <w:rsid w:val="65136B50"/>
    <w:rsid w:val="657E2A35"/>
    <w:rsid w:val="65A94E9D"/>
    <w:rsid w:val="65C60A92"/>
    <w:rsid w:val="66A12460"/>
    <w:rsid w:val="66DD6702"/>
    <w:rsid w:val="672520C8"/>
    <w:rsid w:val="682A2352"/>
    <w:rsid w:val="68AD17BB"/>
    <w:rsid w:val="68D94D22"/>
    <w:rsid w:val="692B2E4A"/>
    <w:rsid w:val="694F77D7"/>
    <w:rsid w:val="696A0B34"/>
    <w:rsid w:val="698D6A17"/>
    <w:rsid w:val="69F954C1"/>
    <w:rsid w:val="6A2031B6"/>
    <w:rsid w:val="6A2F57D7"/>
    <w:rsid w:val="6A324242"/>
    <w:rsid w:val="6AAC29C2"/>
    <w:rsid w:val="6AC61F6F"/>
    <w:rsid w:val="6ADE74F0"/>
    <w:rsid w:val="6B723594"/>
    <w:rsid w:val="6B805156"/>
    <w:rsid w:val="6BC75C65"/>
    <w:rsid w:val="6BD50977"/>
    <w:rsid w:val="6BE60C84"/>
    <w:rsid w:val="6CAA3931"/>
    <w:rsid w:val="6D3933CA"/>
    <w:rsid w:val="6D7B61EC"/>
    <w:rsid w:val="6E09491E"/>
    <w:rsid w:val="6E0D3655"/>
    <w:rsid w:val="6E4128A7"/>
    <w:rsid w:val="6E5F4465"/>
    <w:rsid w:val="6E8C54DA"/>
    <w:rsid w:val="6EBF1DAF"/>
    <w:rsid w:val="6EF11E03"/>
    <w:rsid w:val="6F111C62"/>
    <w:rsid w:val="6F2176E5"/>
    <w:rsid w:val="6F592303"/>
    <w:rsid w:val="6F5F5B74"/>
    <w:rsid w:val="6F9B1C65"/>
    <w:rsid w:val="6FFB146E"/>
    <w:rsid w:val="706516C3"/>
    <w:rsid w:val="70896E68"/>
    <w:rsid w:val="70BF2889"/>
    <w:rsid w:val="714E561F"/>
    <w:rsid w:val="715B60E9"/>
    <w:rsid w:val="71EA1FED"/>
    <w:rsid w:val="72102A5D"/>
    <w:rsid w:val="730313F6"/>
    <w:rsid w:val="73370D24"/>
    <w:rsid w:val="7359268C"/>
    <w:rsid w:val="739503EB"/>
    <w:rsid w:val="73977AB3"/>
    <w:rsid w:val="73A05B28"/>
    <w:rsid w:val="73C07D69"/>
    <w:rsid w:val="74250C52"/>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8D8395D"/>
    <w:rsid w:val="796518DD"/>
    <w:rsid w:val="79AA0532"/>
    <w:rsid w:val="79FE1DDD"/>
    <w:rsid w:val="7A075767"/>
    <w:rsid w:val="7A212062"/>
    <w:rsid w:val="7A282A11"/>
    <w:rsid w:val="7A3A59B8"/>
    <w:rsid w:val="7AC21562"/>
    <w:rsid w:val="7AD474A4"/>
    <w:rsid w:val="7ADB4A26"/>
    <w:rsid w:val="7B8D34C3"/>
    <w:rsid w:val="7B971D84"/>
    <w:rsid w:val="7BD277CC"/>
    <w:rsid w:val="7BF32F03"/>
    <w:rsid w:val="7C1724A5"/>
    <w:rsid w:val="7CA54112"/>
    <w:rsid w:val="7CAA7097"/>
    <w:rsid w:val="7CAB27F5"/>
    <w:rsid w:val="7CE50CE4"/>
    <w:rsid w:val="7D2E5ABF"/>
    <w:rsid w:val="7DE07113"/>
    <w:rsid w:val="7E2142A2"/>
    <w:rsid w:val="7E7B0BF2"/>
    <w:rsid w:val="7E8D75B6"/>
    <w:rsid w:val="7EF760E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uiPriority="39" w:semiHidden="0" w:name="toc 7"/>
    <w:lsdException w:uiPriority="39" w:semiHidden="0" w:name="toc 8"/>
    <w:lsdException w:qFormat="1" w:uiPriority="39" w:semiHidden="0"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99" w:semiHidden="0" w:name="footnote reference"/>
    <w:lsdException w:uiPriority="0" w:name="annotation reference"/>
    <w:lsdException w:uiPriority="0" w:name="line number"/>
    <w:lsdException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qFormat="1" w:unhideWhenUsed="0" w:uiPriority="1" w:semiHidden="0" w:name="Body Text"/>
    <w:lsdException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paragraph" w:styleId="2">
    <w:name w:val="heading 1"/>
    <w:basedOn w:val="1"/>
    <w:next w:val="1"/>
    <w:qFormat/>
    <w:uiPriority w:val="9"/>
    <w:pPr>
      <w:keepNext/>
      <w:keepLines/>
      <w:tabs>
        <w:tab w:val="left" w:pos="720"/>
      </w:tabs>
      <w:spacing w:before="100" w:after="100" w:line="360" w:lineRule="auto"/>
      <w:ind w:left="720"/>
      <w:jc w:val="center"/>
      <w:outlineLvl w:val="0"/>
    </w:pPr>
    <w:rPr>
      <w:rFonts w:ascii="宋体" w:hAnsi="宋体" w:eastAsia="宋体" w:cs="Times New Roman"/>
      <w:b/>
      <w:kern w:val="44"/>
      <w:sz w:val="32"/>
    </w:rPr>
  </w:style>
  <w:style w:type="paragraph" w:styleId="3">
    <w:name w:val="heading 2"/>
    <w:basedOn w:val="1"/>
    <w:next w:val="4"/>
    <w:link w:val="51"/>
    <w:unhideWhenUsed/>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link w:val="5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unhideWhenUsed/>
    <w:qFormat/>
    <w:uiPriority w:val="9"/>
    <w:pPr>
      <w:keepNext/>
      <w:keepLines/>
      <w:spacing w:before="280" w:after="290" w:line="376" w:lineRule="auto"/>
      <w:outlineLvl w:val="3"/>
    </w:pPr>
    <w:rPr>
      <w:rFonts w:ascii="Cambria" w:hAnsi="Cambria" w:eastAsia="宋体"/>
      <w:b/>
      <w:bCs/>
      <w:sz w:val="28"/>
      <w:szCs w:val="28"/>
    </w:rPr>
  </w:style>
  <w:style w:type="paragraph" w:styleId="6">
    <w:name w:val="heading 6"/>
    <w:basedOn w:val="1"/>
    <w:next w:val="1"/>
    <w:unhideWhenUsed/>
    <w:qFormat/>
    <w:uiPriority w:val="9"/>
    <w:pPr>
      <w:keepNext/>
      <w:keepLines/>
      <w:spacing w:before="240" w:after="64" w:line="317" w:lineRule="auto"/>
      <w:outlineLvl w:val="5"/>
    </w:pPr>
    <w:rPr>
      <w:rFonts w:ascii="Arial" w:hAnsi="Arial" w:eastAsia="黑体"/>
      <w:b/>
      <w:sz w:val="24"/>
    </w:rPr>
  </w:style>
  <w:style w:type="character" w:default="1" w:styleId="26">
    <w:name w:val="Default Paragraph Font"/>
    <w:unhideWhenUsed/>
    <w:uiPriority w:val="1"/>
  </w:style>
  <w:style w:type="table" w:default="1" w:styleId="31">
    <w:name w:val="Normal Table"/>
    <w:unhideWhenUsed/>
    <w:uiPriority w:val="99"/>
    <w:tblPr>
      <w:tblStyle w:val="31"/>
      <w:tblLayout w:type="fixed"/>
      <w:tblCellMar>
        <w:top w:w="0" w:type="dxa"/>
        <w:left w:w="108" w:type="dxa"/>
        <w:bottom w:w="0" w:type="dxa"/>
        <w:right w:w="108" w:type="dxa"/>
      </w:tblCellMar>
    </w:tblPr>
    <w:tcPr>
      <w:textDirection w:val="lrTb"/>
    </w:tcPr>
  </w:style>
  <w:style w:type="paragraph" w:styleId="7">
    <w:name w:val="toc 7"/>
    <w:basedOn w:val="1"/>
    <w:next w:val="1"/>
    <w:unhideWhenUsed/>
    <w:uiPriority w:val="39"/>
    <w:pPr>
      <w:widowControl w:val="0"/>
      <w:adjustRightInd/>
      <w:snapToGrid/>
      <w:spacing w:after="0"/>
      <w:ind w:left="2520" w:leftChars="1200"/>
      <w:jc w:val="both"/>
    </w:pPr>
    <w:rPr>
      <w:rFonts w:ascii="Calibri" w:hAnsi="Calibri" w:eastAsia="宋体" w:cs="黑体"/>
      <w:kern w:val="2"/>
      <w:sz w:val="21"/>
    </w:rPr>
  </w:style>
  <w:style w:type="paragraph" w:styleId="8">
    <w:name w:val="annotation text"/>
    <w:basedOn w:val="1"/>
    <w:unhideWhenUsed/>
    <w:qFormat/>
    <w:uiPriority w:val="99"/>
  </w:style>
  <w:style w:type="paragraph" w:styleId="9">
    <w:name w:val="Body Text"/>
    <w:basedOn w:val="1"/>
    <w:next w:val="1"/>
    <w:qFormat/>
    <w:uiPriority w:val="1"/>
    <w:pPr>
      <w:spacing w:before="161"/>
      <w:ind w:left="120"/>
    </w:pPr>
    <w:rPr>
      <w:rFonts w:ascii="宋体" w:hAnsi="宋体" w:eastAsia="宋体" w:cs="宋体"/>
      <w:sz w:val="24"/>
      <w:lang w:val="zh-CN" w:bidi="zh-CN"/>
    </w:rPr>
  </w:style>
  <w:style w:type="paragraph" w:styleId="10">
    <w:name w:val="Body Text Indent"/>
    <w:basedOn w:val="1"/>
    <w:unhideWhenUsed/>
    <w:uiPriority w:val="99"/>
    <w:pPr>
      <w:spacing w:after="120"/>
      <w:ind w:left="420" w:leftChars="200"/>
    </w:pPr>
  </w:style>
  <w:style w:type="paragraph" w:styleId="11">
    <w:name w:val="toc 5"/>
    <w:basedOn w:val="1"/>
    <w:next w:val="1"/>
    <w:unhideWhenUsed/>
    <w:uiPriority w:val="39"/>
    <w:pPr>
      <w:widowControl w:val="0"/>
      <w:adjustRightInd/>
      <w:snapToGrid/>
      <w:spacing w:after="0"/>
      <w:ind w:left="1680" w:leftChars="800"/>
      <w:jc w:val="both"/>
    </w:pPr>
    <w:rPr>
      <w:rFonts w:ascii="Calibri" w:hAnsi="Calibri" w:eastAsia="宋体" w:cs="黑体"/>
      <w:kern w:val="2"/>
      <w:sz w:val="21"/>
    </w:rPr>
  </w:style>
  <w:style w:type="paragraph" w:styleId="12">
    <w:name w:val="toc 3"/>
    <w:basedOn w:val="1"/>
    <w:next w:val="1"/>
    <w:unhideWhenUsed/>
    <w:qFormat/>
    <w:uiPriority w:val="39"/>
    <w:pPr>
      <w:tabs>
        <w:tab w:val="right" w:leader="dot" w:pos="8296"/>
      </w:tabs>
      <w:ind w:left="838" w:leftChars="381"/>
    </w:pPr>
    <w:rPr>
      <w:sz w:val="21"/>
      <w:szCs w:val="21"/>
    </w:rPr>
  </w:style>
  <w:style w:type="paragraph" w:styleId="13">
    <w:name w:val="Plain Text"/>
    <w:basedOn w:val="1"/>
    <w:link w:val="60"/>
    <w:qFormat/>
    <w:uiPriority w:val="0"/>
    <w:pPr>
      <w:widowControl w:val="0"/>
      <w:adjustRightInd/>
      <w:snapToGrid/>
      <w:spacing w:after="0"/>
      <w:jc w:val="both"/>
    </w:pPr>
    <w:rPr>
      <w:rFonts w:ascii="宋体" w:hAnsi="Courier New" w:eastAsia="宋体" w:cs="Times New Roman"/>
      <w:b/>
      <w:kern w:val="2"/>
      <w:sz w:val="21"/>
      <w:szCs w:val="20"/>
    </w:rPr>
  </w:style>
  <w:style w:type="paragraph" w:styleId="14">
    <w:name w:val="toc 8"/>
    <w:basedOn w:val="1"/>
    <w:next w:val="1"/>
    <w:unhideWhenUsed/>
    <w:uiPriority w:val="39"/>
    <w:pPr>
      <w:widowControl w:val="0"/>
      <w:adjustRightInd/>
      <w:snapToGrid/>
      <w:spacing w:after="0"/>
      <w:ind w:left="2940" w:leftChars="1400"/>
      <w:jc w:val="both"/>
    </w:pPr>
    <w:rPr>
      <w:rFonts w:ascii="Calibri" w:hAnsi="Calibri" w:eastAsia="宋体" w:cs="黑体"/>
      <w:kern w:val="2"/>
      <w:sz w:val="21"/>
    </w:rPr>
  </w:style>
  <w:style w:type="paragraph" w:styleId="15">
    <w:name w:val="Balloon Text"/>
    <w:basedOn w:val="1"/>
    <w:link w:val="63"/>
    <w:unhideWhenUsed/>
    <w:qFormat/>
    <w:uiPriority w:val="99"/>
    <w:pPr>
      <w:spacing w:after="0"/>
    </w:pPr>
    <w:rPr>
      <w:sz w:val="18"/>
      <w:szCs w:val="18"/>
    </w:rPr>
  </w:style>
  <w:style w:type="paragraph" w:styleId="16">
    <w:name w:val="footer"/>
    <w:basedOn w:val="1"/>
    <w:link w:val="62"/>
    <w:unhideWhenUsed/>
    <w:qFormat/>
    <w:uiPriority w:val="99"/>
    <w:pPr>
      <w:tabs>
        <w:tab w:val="center" w:pos="4153"/>
        <w:tab w:val="right" w:pos="8306"/>
      </w:tabs>
    </w:pPr>
    <w:rPr>
      <w:sz w:val="18"/>
      <w:szCs w:val="18"/>
    </w:rPr>
  </w:style>
  <w:style w:type="paragraph" w:styleId="17">
    <w:name w:val="Body Text First Indent 2"/>
    <w:basedOn w:val="10"/>
    <w:unhideWhenUsed/>
    <w:uiPriority w:val="99"/>
  </w:style>
  <w:style w:type="paragraph" w:styleId="18">
    <w:name w:val="header"/>
    <w:basedOn w:val="1"/>
    <w:link w:val="61"/>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footnote text"/>
    <w:basedOn w:val="1"/>
    <w:unhideWhenUsed/>
    <w:qFormat/>
    <w:uiPriority w:val="99"/>
    <w:rPr>
      <w:sz w:val="18"/>
    </w:rPr>
  </w:style>
  <w:style w:type="paragraph" w:styleId="22">
    <w:name w:val="toc 6"/>
    <w:basedOn w:val="1"/>
    <w:next w:val="1"/>
    <w:unhideWhenUsed/>
    <w:qFormat/>
    <w:uiPriority w:val="39"/>
    <w:pPr>
      <w:widowControl w:val="0"/>
      <w:adjustRightInd/>
      <w:snapToGrid/>
      <w:spacing w:after="0"/>
      <w:ind w:left="2100" w:leftChars="1000"/>
      <w:jc w:val="both"/>
    </w:pPr>
    <w:rPr>
      <w:rFonts w:ascii="Calibri" w:hAnsi="Calibri" w:eastAsia="宋体" w:cs="黑体"/>
      <w:kern w:val="2"/>
      <w:sz w:val="21"/>
    </w:rPr>
  </w:style>
  <w:style w:type="paragraph" w:styleId="23">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4">
    <w:name w:val="toc 9"/>
    <w:basedOn w:val="1"/>
    <w:next w:val="1"/>
    <w:unhideWhenUsed/>
    <w:qFormat/>
    <w:uiPriority w:val="39"/>
    <w:pPr>
      <w:widowControl w:val="0"/>
      <w:adjustRightInd/>
      <w:snapToGrid/>
      <w:spacing w:after="0"/>
      <w:ind w:left="3360" w:leftChars="1600"/>
      <w:jc w:val="both"/>
    </w:pPr>
    <w:rPr>
      <w:rFonts w:ascii="Calibri" w:hAnsi="Calibri" w:eastAsia="宋体" w:cs="黑体"/>
      <w:kern w:val="2"/>
      <w:sz w:val="21"/>
    </w:rPr>
  </w:style>
  <w:style w:type="paragraph" w:styleId="25">
    <w:name w:val="Normal (Web)"/>
    <w:basedOn w:val="1"/>
    <w:link w:val="64"/>
    <w:qFormat/>
    <w:uiPriority w:val="0"/>
    <w:pPr>
      <w:widowControl w:val="0"/>
      <w:adjustRightInd/>
      <w:snapToGrid/>
      <w:spacing w:after="0"/>
      <w:jc w:val="both"/>
    </w:pPr>
    <w:rPr>
      <w:rFonts w:ascii="Calibri" w:hAnsi="Calibri" w:eastAsia="宋体"/>
      <w:kern w:val="2"/>
      <w:sz w:val="24"/>
      <w:szCs w:val="24"/>
    </w:rPr>
  </w:style>
  <w:style w:type="character" w:styleId="27">
    <w:name w:val="page number"/>
    <w:basedOn w:val="26"/>
    <w:unhideWhenUsed/>
    <w:uiPriority w:val="99"/>
    <w:rPr/>
  </w:style>
  <w:style w:type="character" w:styleId="28">
    <w:name w:val="Emphasis"/>
    <w:basedOn w:val="26"/>
    <w:qFormat/>
    <w:uiPriority w:val="20"/>
    <w:rPr>
      <w:i/>
      <w:iCs/>
    </w:rPr>
  </w:style>
  <w:style w:type="character" w:styleId="29">
    <w:name w:val="Hyperlink"/>
    <w:qFormat/>
    <w:uiPriority w:val="99"/>
    <w:rPr>
      <w:rFonts w:hint="eastAsia" w:ascii="宋体" w:hAnsi="宋体" w:eastAsia="宋体" w:cs="宋体"/>
      <w:b/>
      <w:color w:val="0031C1"/>
      <w:kern w:val="0"/>
      <w:sz w:val="18"/>
      <w:szCs w:val="18"/>
      <w:u w:val="none"/>
      <w:lang w:eastAsia="en-US"/>
    </w:rPr>
  </w:style>
  <w:style w:type="character" w:styleId="30">
    <w:name w:val="footnote reference"/>
    <w:basedOn w:val="26"/>
    <w:unhideWhenUsed/>
    <w:qFormat/>
    <w:uiPriority w:val="99"/>
    <w:rPr>
      <w:vertAlign w:val="superscript"/>
    </w:rPr>
  </w:style>
  <w:style w:type="table" w:styleId="32">
    <w:name w:val="Table Grid"/>
    <w:basedOn w:val="31"/>
    <w:qFormat/>
    <w:uiPriority w:val="59"/>
    <w:pPr/>
    <w:tblPr>
      <w:tblStyle w:val="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33">
    <w:name w:val="GW-标题4"/>
    <w:basedOn w:val="1"/>
    <w:qFormat/>
    <w:uiPriority w:val="0"/>
    <w:pPr>
      <w:numPr>
        <w:ilvl w:val="3"/>
        <w:numId w:val="1"/>
      </w:numPr>
      <w:tabs>
        <w:tab w:val="left" w:pos="8286"/>
      </w:tabs>
      <w:spacing w:line="600" w:lineRule="exact"/>
      <w:ind w:firstLine="0"/>
      <w:outlineLvl w:val="3"/>
    </w:pPr>
    <w:rPr>
      <w:rFonts w:ascii="黑体" w:hAnsi="宋体" w:eastAsia="黑体"/>
      <w:color w:val="000000"/>
      <w:spacing w:val="15"/>
      <w:sz w:val="30"/>
    </w:rPr>
  </w:style>
  <w:style w:type="paragraph" w:customStyle="1" w:styleId="34">
    <w:name w:val="表格文字"/>
    <w:basedOn w:val="1"/>
    <w:qFormat/>
    <w:uiPriority w:val="0"/>
    <w:pPr>
      <w:spacing w:before="25" w:after="25" w:line="300" w:lineRule="auto"/>
    </w:pPr>
    <w:rPr>
      <w:rFonts w:ascii="Times" w:hAnsi="Times"/>
      <w:spacing w:val="10"/>
      <w:sz w:val="24"/>
      <w:szCs w:val="20"/>
    </w:rPr>
  </w:style>
  <w:style w:type="paragraph" w:customStyle="1" w:styleId="35">
    <w:name w:val="列出段落1"/>
    <w:basedOn w:val="1"/>
    <w:qFormat/>
    <w:uiPriority w:val="34"/>
    <w:pPr>
      <w:ind w:firstLine="420" w:firstLineChars="200"/>
    </w:pPr>
  </w:style>
  <w:style w:type="paragraph" w:customStyle="1" w:styleId="36">
    <w:name w:val="正文缩进2格"/>
    <w:basedOn w:val="1"/>
    <w:link w:val="54"/>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37">
    <w:name w:val="正文缩进4格"/>
    <w:basedOn w:val="36"/>
    <w:qFormat/>
    <w:uiPriority w:val="0"/>
    <w:pPr>
      <w:ind w:left="2" w:firstLine="538" w:firstLineChars="192"/>
    </w:pPr>
    <w:rPr>
      <w:color w:val="0000FF"/>
      <w:sz w:val="28"/>
    </w:rPr>
  </w:style>
  <w:style w:type="paragraph" w:customStyle="1" w:styleId="38">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39">
    <w:name w:val="标题 3.1"/>
    <w:basedOn w:val="4"/>
    <w:link w:val="57"/>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paragraph" w:customStyle="1" w:styleId="40">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paragraph" w:customStyle="1" w:styleId="41">
    <w:name w:val="列出段落1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paragraph" w:customStyle="1" w:styleId="42">
    <w:name w:val="[基本段落]"/>
    <w:basedOn w:val="1"/>
    <w:qFormat/>
    <w:uiPriority w:val="0"/>
    <w:pPr>
      <w:autoSpaceDE w:val="0"/>
      <w:autoSpaceDN w:val="0"/>
      <w:spacing w:line="288" w:lineRule="auto"/>
    </w:pPr>
    <w:rPr>
      <w:rFonts w:ascii="宋体" w:cs="宋体"/>
      <w:color w:val="000000"/>
      <w:sz w:val="24"/>
      <w:lang w:val="zh-CN"/>
    </w:rPr>
  </w:style>
  <w:style w:type="paragraph" w:customStyle="1" w:styleId="43">
    <w:name w:val="正文1"/>
    <w:basedOn w:val="1"/>
    <w:qFormat/>
    <w:uiPriority w:val="0"/>
    <w:pPr>
      <w:tabs>
        <w:tab w:val="left" w:pos="420"/>
      </w:tabs>
      <w:spacing w:line="360" w:lineRule="auto"/>
      <w:ind w:firstLine="432"/>
    </w:pPr>
    <w:rPr>
      <w:rFonts w:ascii="宋体" w:hAnsi="宋体"/>
      <w:b/>
      <w:sz w:val="24"/>
    </w:rPr>
  </w:style>
  <w:style w:type="paragraph" w:customStyle="1" w:styleId="44">
    <w:name w:val="Table Paragraph"/>
    <w:basedOn w:val="1"/>
    <w:qFormat/>
    <w:uiPriority w:val="1"/>
    <w:pPr>
      <w:spacing w:before="15"/>
      <w:ind w:left="318"/>
      <w:jc w:val="center"/>
    </w:pPr>
    <w:rPr>
      <w:rFonts w:ascii="宋体" w:hAnsi="宋体" w:eastAsia="宋体" w:cs="宋体"/>
      <w:lang w:val="zh-CN" w:bidi="zh-CN"/>
    </w:rPr>
  </w:style>
  <w:style w:type="paragraph" w:customStyle="1" w:styleId="45">
    <w:name w:val="纯文本1"/>
    <w:qFormat/>
    <w:uiPriority w:val="0"/>
    <w:rPr>
      <w:rFonts w:ascii="宋体" w:hAnsi="Courier New" w:eastAsia="宋体" w:cs="Courier New"/>
      <w:kern w:val="2"/>
      <w:sz w:val="21"/>
      <w:szCs w:val="21"/>
      <w:lang w:val="en-US" w:eastAsia="zh-CN" w:bidi="ar-SA"/>
    </w:rPr>
  </w:style>
  <w:style w:type="paragraph" w:customStyle="1" w:styleId="46">
    <w:name w:val="正文文本缩进 3_0"/>
    <w:qFormat/>
    <w:uiPriority w:val="0"/>
    <w:pPr>
      <w:widowControl w:val="0"/>
      <w:spacing w:after="120"/>
      <w:ind w:left="420" w:leftChars="200"/>
      <w:jc w:val="both"/>
    </w:pPr>
    <w:rPr>
      <w:rFonts w:ascii="Times New Roman" w:hAnsi="Times New Roman" w:eastAsia="宋体" w:cs="Times New Roman"/>
      <w:kern w:val="2"/>
      <w:sz w:val="16"/>
      <w:szCs w:val="16"/>
      <w:lang w:val="en-US" w:eastAsia="zh-CN" w:bidi="ar-SA"/>
    </w:rPr>
  </w:style>
  <w:style w:type="paragraph" w:customStyle="1" w:styleId="47">
    <w:name w:val="正文_0_0"/>
    <w:next w:val="4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目录 2_0"/>
    <w:next w:val="47"/>
    <w:qFormat/>
    <w:uiPriority w:val="39"/>
    <w:pPr>
      <w:widowControl w:val="0"/>
      <w:tabs>
        <w:tab w:val="right" w:leader="dot" w:pos="9402"/>
      </w:tabs>
      <w:spacing w:line="360" w:lineRule="auto"/>
      <w:ind w:left="993" w:leftChars="202" w:hanging="569" w:hangingChars="237"/>
      <w:jc w:val="both"/>
    </w:pPr>
    <w:rPr>
      <w:rFonts w:ascii="Calibri" w:hAnsi="Calibri" w:eastAsia="宋体" w:cs="Times New Roman"/>
      <w:kern w:val="2"/>
      <w:sz w:val="21"/>
      <w:szCs w:val="22"/>
      <w:lang w:val="en-US" w:eastAsia="zh-CN" w:bidi="ar-SA"/>
    </w:rPr>
  </w:style>
  <w:style w:type="paragraph" w:customStyle="1" w:styleId="49">
    <w:name w:val="GW-标题5"/>
    <w:basedOn w:val="33"/>
    <w:next w:val="50"/>
    <w:qFormat/>
    <w:uiPriority w:val="0"/>
    <w:pPr>
      <w:numPr>
        <w:ilvl w:val="4"/>
        <w:numId w:val="1"/>
      </w:numPr>
      <w:outlineLvl w:val="4"/>
    </w:pPr>
    <w:rPr>
      <w:sz w:val="28"/>
    </w:rPr>
  </w:style>
  <w:style w:type="paragraph" w:customStyle="1" w:styleId="50">
    <w:name w:val="*正文"/>
    <w:basedOn w:val="1"/>
    <w:qFormat/>
    <w:uiPriority w:val="0"/>
    <w:rPr>
      <w:rFonts w:ascii="仿宋_GB2312" w:eastAsia="仿宋_GB2312"/>
      <w:bCs/>
      <w:kern w:val="2"/>
      <w:sz w:val="24"/>
      <w:szCs w:val="28"/>
    </w:rPr>
  </w:style>
  <w:style w:type="character" w:customStyle="1" w:styleId="51">
    <w:name w:val="标题 2 Char"/>
    <w:basedOn w:val="26"/>
    <w:link w:val="3"/>
    <w:qFormat/>
    <w:uiPriority w:val="9"/>
    <w:rPr>
      <w:rFonts w:ascii="Cambria" w:hAnsi="Cambria" w:eastAsia="宋体" w:cs="黑体"/>
      <w:b/>
      <w:bCs/>
      <w:sz w:val="32"/>
      <w:szCs w:val="32"/>
    </w:rPr>
  </w:style>
  <w:style w:type="character" w:customStyle="1" w:styleId="52">
    <w:name w:val="标题 3 Char"/>
    <w:basedOn w:val="26"/>
    <w:link w:val="4"/>
    <w:qFormat/>
    <w:uiPriority w:val="9"/>
    <w:rPr>
      <w:rFonts w:ascii="Tahoma" w:hAnsi="Tahoma"/>
      <w:b/>
      <w:bCs/>
      <w:sz w:val="32"/>
      <w:szCs w:val="32"/>
    </w:rPr>
  </w:style>
  <w:style w:type="character" w:customStyle="1" w:styleId="53">
    <w:name w:val="标题 4 Char"/>
    <w:basedOn w:val="26"/>
    <w:link w:val="5"/>
    <w:qFormat/>
    <w:uiPriority w:val="9"/>
    <w:rPr>
      <w:rFonts w:ascii="Cambria" w:hAnsi="Cambria" w:eastAsia="宋体" w:cs="黑体"/>
      <w:b/>
      <w:bCs/>
      <w:sz w:val="28"/>
      <w:szCs w:val="28"/>
    </w:rPr>
  </w:style>
  <w:style w:type="character" w:customStyle="1" w:styleId="54">
    <w:name w:val="正文缩进2格 Char"/>
    <w:link w:val="36"/>
    <w:qFormat/>
    <w:uiPriority w:val="0"/>
    <w:rPr>
      <w:rFonts w:ascii="仿宋_GB2312" w:hAnsi="宋体" w:eastAsia="仿宋_GB2312"/>
      <w:kern w:val="2"/>
      <w:sz w:val="31"/>
    </w:rPr>
  </w:style>
  <w:style w:type="character" w:customStyle="1" w:styleId="55">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56">
    <w:name w:val="标题1"/>
    <w:qFormat/>
    <w:uiPriority w:val="0"/>
    <w:rPr>
      <w:rFonts w:ascii="Times New Roman" w:hAnsi="Times New Roman" w:eastAsia="宋体" w:cs="Times New Roman"/>
      <w:b/>
      <w:kern w:val="0"/>
      <w:sz w:val="24"/>
      <w:szCs w:val="20"/>
      <w:lang w:eastAsia="en-US"/>
    </w:rPr>
  </w:style>
  <w:style w:type="character" w:customStyle="1" w:styleId="57">
    <w:name w:val="标题 3.1 Char"/>
    <w:link w:val="39"/>
    <w:qFormat/>
    <w:uiPriority w:val="0"/>
    <w:rPr>
      <w:rFonts w:ascii="宋体" w:hAnsi="宋体" w:eastAsia="宋体"/>
      <w:b/>
      <w:color w:val="FF0000"/>
      <w:kern w:val="2"/>
      <w:sz w:val="32"/>
    </w:rPr>
  </w:style>
  <w:style w:type="character" w:customStyle="1" w:styleId="58">
    <w:name w:val="样式 楷体_GB2312 小四"/>
    <w:qFormat/>
    <w:uiPriority w:val="0"/>
    <w:rPr>
      <w:rFonts w:ascii="楷体_GB2312" w:hAnsi="楷体_GB2312" w:eastAsia="仿宋_GB2312"/>
      <w:sz w:val="24"/>
    </w:rPr>
  </w:style>
  <w:style w:type="character" w:customStyle="1" w:styleId="59">
    <w:name w:val="纯文本 Char"/>
    <w:qFormat/>
    <w:uiPriority w:val="0"/>
    <w:rPr>
      <w:rFonts w:ascii="宋体" w:hAnsi="Courier New" w:eastAsia="宋体" w:cs="Times New Roman"/>
      <w:b/>
      <w:kern w:val="2"/>
      <w:sz w:val="21"/>
      <w:szCs w:val="20"/>
    </w:rPr>
  </w:style>
  <w:style w:type="character" w:customStyle="1" w:styleId="60">
    <w:name w:val="纯文本 Char1"/>
    <w:basedOn w:val="26"/>
    <w:link w:val="13"/>
    <w:semiHidden/>
    <w:qFormat/>
    <w:uiPriority w:val="99"/>
    <w:rPr>
      <w:rFonts w:ascii="宋体" w:hAnsi="Courier New" w:eastAsia="宋体" w:cs="Courier New"/>
      <w:sz w:val="21"/>
      <w:szCs w:val="21"/>
    </w:rPr>
  </w:style>
  <w:style w:type="character" w:customStyle="1" w:styleId="61">
    <w:name w:val="页眉 Char"/>
    <w:basedOn w:val="26"/>
    <w:link w:val="18"/>
    <w:qFormat/>
    <w:uiPriority w:val="99"/>
    <w:rPr>
      <w:rFonts w:ascii="Tahoma" w:hAnsi="Tahoma"/>
      <w:sz w:val="18"/>
      <w:szCs w:val="18"/>
    </w:rPr>
  </w:style>
  <w:style w:type="character" w:customStyle="1" w:styleId="62">
    <w:name w:val="页脚 Char"/>
    <w:basedOn w:val="26"/>
    <w:link w:val="16"/>
    <w:qFormat/>
    <w:uiPriority w:val="99"/>
    <w:rPr>
      <w:rFonts w:ascii="Tahoma" w:hAnsi="Tahoma"/>
      <w:sz w:val="18"/>
      <w:szCs w:val="18"/>
    </w:rPr>
  </w:style>
  <w:style w:type="character" w:customStyle="1" w:styleId="63">
    <w:name w:val="批注框文本 Char"/>
    <w:basedOn w:val="26"/>
    <w:link w:val="15"/>
    <w:semiHidden/>
    <w:qFormat/>
    <w:uiPriority w:val="99"/>
    <w:rPr>
      <w:rFonts w:ascii="Tahoma" w:hAnsi="Tahoma"/>
      <w:sz w:val="18"/>
      <w:szCs w:val="18"/>
    </w:rPr>
  </w:style>
  <w:style w:type="character" w:customStyle="1" w:styleId="64">
    <w:name w:val="普通(网站) Char"/>
    <w:link w:val="25"/>
    <w:qFormat/>
    <w:uiPriority w:val="0"/>
    <w:rPr>
      <w:rFonts w:eastAsia="宋体"/>
      <w:kern w:val="2"/>
      <w:sz w:val="24"/>
      <w:szCs w:val="24"/>
    </w:rPr>
  </w:style>
  <w:style w:type="character" w:customStyle="1" w:styleId="65">
    <w:name w:val="p141"/>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notes" Target="footnotes.xml"/><Relationship Id="rId3" Type="http://schemas.openxmlformats.org/officeDocument/2006/relationships/settings" Target="settings.xml"/><Relationship Id="rId2" Type="http://schemas.openxmlformats.org/officeDocument/2006/relationships/styles" Target="styles.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61</Pages>
  <Words>4916</Words>
  <Characters>28025</Characters>
  <Lines>233</Lines>
  <Paragraphs>65</Paragraphs>
  <ScaleCrop>false</ScaleCrop>
  <LinksUpToDate>false</LinksUpToDate>
  <CharactersWithSpaces>0</CharactersWithSpaces>
  <Application>WPS Office 专业版_9.1.0.5026_F1E327BC-269C-435d-A152-05C5408002CA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1</cp:lastModifiedBy>
  <cp:lastPrinted>2019-04-01T01:49:00Z</cp:lastPrinted>
  <dcterms:modified xsi:type="dcterms:W3CDTF">2021-09-10T08:53:38Z</dcterms:modified>
  <dc:title>_x0001_</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y fmtid="{D5CDD505-2E9C-101B-9397-08002B2CF9AE}" pid="3" name="ICV">
    <vt:lpwstr>7E686F657EE1412CB06E99D4CE9C864F</vt:lpwstr>
  </property>
</Properties>
</file>