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hint="eastAsia" w:ascii="宋体" w:hAnsi="宋体" w:eastAsia="宋体" w:cs="宋体"/>
          <w:b/>
          <w:color w:val="auto"/>
          <w:sz w:val="36"/>
        </w:rPr>
      </w:pPr>
      <w:r>
        <w:rPr>
          <w:rFonts w:hint="eastAsia" w:ascii="宋体" w:hAnsi="宋体" w:eastAsia="宋体" w:cs="宋体"/>
          <w:b/>
          <w:color w:val="auto"/>
          <w:sz w:val="28"/>
        </w:rPr>
        <w:drawing>
          <wp:inline distT="0" distB="0" distL="114300" distR="114300">
            <wp:extent cx="533400" cy="514350"/>
            <wp:effectExtent l="19050" t="0" r="0" b="0"/>
            <wp:docPr id="2" name="Picture 2" descr="三方诚信标志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三方诚信标志01"/>
                    <pic:cNvPicPr>
                      <a:picLocks noChangeAspect="1" noChangeArrowheads="1"/>
                    </pic:cNvPicPr>
                  </pic:nvPicPr>
                  <pic:blipFill>
                    <a:blip r:embed="rId7" cstate="print"/>
                    <a:srcRect/>
                    <a:stretch>
                      <a:fillRect/>
                    </a:stretch>
                  </pic:blipFill>
                  <pic:spPr>
                    <a:xfrm>
                      <a:off x="0" y="0"/>
                      <a:ext cx="533400" cy="514350"/>
                    </a:xfrm>
                    <a:prstGeom prst="rect">
                      <a:avLst/>
                    </a:prstGeom>
                    <a:noFill/>
                    <a:ln w="9525">
                      <a:noFill/>
                      <a:miter lim="800000"/>
                      <a:headEnd/>
                      <a:tailEnd/>
                    </a:ln>
                  </pic:spPr>
                </pic:pic>
              </a:graphicData>
            </a:graphic>
          </wp:inline>
        </w:drawing>
      </w:r>
    </w:p>
    <w:p>
      <w:pPr>
        <w:jc w:val="right"/>
        <w:rPr>
          <w:rFonts w:hint="eastAsia" w:ascii="宋体" w:hAnsi="宋体" w:eastAsia="宋体" w:cs="宋体"/>
          <w:b/>
          <w:color w:val="auto"/>
          <w:sz w:val="36"/>
        </w:rPr>
      </w:pPr>
    </w:p>
    <w:p>
      <w:pPr>
        <w:rPr>
          <w:rFonts w:hint="eastAsia" w:ascii="宋体" w:hAnsi="宋体" w:eastAsia="宋体" w:cs="宋体"/>
          <w:color w:val="auto"/>
        </w:rPr>
      </w:pPr>
    </w:p>
    <w:p>
      <w:pPr>
        <w:rPr>
          <w:rFonts w:hint="eastAsia" w:ascii="宋体" w:hAnsi="宋体" w:eastAsia="宋体" w:cs="宋体"/>
          <w:color w:val="auto"/>
        </w:rPr>
      </w:pPr>
    </w:p>
    <w:p>
      <w:pPr>
        <w:rPr>
          <w:rFonts w:hint="eastAsia" w:ascii="宋体" w:hAnsi="宋体" w:eastAsia="宋体" w:cs="宋体"/>
          <w:color w:val="auto"/>
        </w:rPr>
      </w:pPr>
    </w:p>
    <w:p>
      <w:pPr>
        <w:jc w:val="center"/>
        <w:rPr>
          <w:rFonts w:hint="eastAsia" w:ascii="宋体" w:hAnsi="宋体" w:eastAsia="宋体" w:cs="宋体"/>
          <w:b/>
          <w:color w:val="auto"/>
          <w:sz w:val="72"/>
          <w:szCs w:val="32"/>
        </w:rPr>
      </w:pPr>
      <w:r>
        <w:rPr>
          <w:rFonts w:hint="eastAsia" w:ascii="宋体" w:hAnsi="宋体" w:eastAsia="宋体" w:cs="宋体"/>
          <w:b/>
          <w:color w:val="auto"/>
          <w:sz w:val="72"/>
          <w:szCs w:val="32"/>
          <w:lang w:eastAsia="zh-CN"/>
        </w:rPr>
        <w:t>国内</w:t>
      </w:r>
      <w:r>
        <w:rPr>
          <w:rFonts w:hint="eastAsia" w:ascii="宋体" w:hAnsi="宋体" w:eastAsia="宋体" w:cs="宋体"/>
          <w:b/>
          <w:color w:val="auto"/>
          <w:sz w:val="72"/>
          <w:szCs w:val="32"/>
        </w:rPr>
        <w:t>采购</w:t>
      </w:r>
    </w:p>
    <w:p>
      <w:pPr>
        <w:jc w:val="center"/>
        <w:rPr>
          <w:rFonts w:hint="eastAsia" w:ascii="宋体" w:hAnsi="宋体" w:eastAsia="宋体" w:cs="宋体"/>
          <w:b/>
          <w:color w:val="auto"/>
          <w:sz w:val="72"/>
          <w:szCs w:val="32"/>
        </w:rPr>
      </w:pPr>
      <w:r>
        <w:rPr>
          <w:rFonts w:hint="eastAsia" w:ascii="宋体" w:hAnsi="宋体" w:eastAsia="宋体" w:cs="宋体"/>
          <w:b/>
          <w:color w:val="auto"/>
          <w:sz w:val="72"/>
          <w:szCs w:val="32"/>
        </w:rPr>
        <w:t>公开招标文件</w:t>
      </w:r>
    </w:p>
    <w:p>
      <w:pPr>
        <w:jc w:val="center"/>
        <w:rPr>
          <w:rFonts w:hint="eastAsia" w:ascii="宋体" w:hAnsi="宋体" w:eastAsia="宋体" w:cs="宋体"/>
          <w:color w:val="auto"/>
        </w:rPr>
      </w:pPr>
    </w:p>
    <w:p>
      <w:pPr>
        <w:jc w:val="center"/>
        <w:rPr>
          <w:rFonts w:hint="eastAsia" w:ascii="宋体" w:hAnsi="宋体" w:eastAsia="宋体" w:cs="宋体"/>
          <w:color w:val="auto"/>
        </w:rPr>
      </w:pPr>
    </w:p>
    <w:p>
      <w:pPr>
        <w:rPr>
          <w:rFonts w:hint="eastAsia" w:ascii="宋体" w:hAnsi="宋体" w:eastAsia="宋体" w:cs="宋体"/>
          <w:color w:val="auto"/>
        </w:rPr>
      </w:pPr>
    </w:p>
    <w:p>
      <w:pPr>
        <w:rPr>
          <w:rFonts w:hint="eastAsia" w:ascii="宋体" w:hAnsi="宋体" w:eastAsia="宋体" w:cs="宋体"/>
          <w:bCs/>
          <w:color w:val="auto"/>
          <w:sz w:val="44"/>
        </w:rPr>
      </w:pPr>
      <w:r>
        <w:rPr>
          <w:rFonts w:hint="eastAsia" w:ascii="宋体" w:hAnsi="宋体" w:eastAsia="宋体" w:cs="宋体"/>
          <w:bCs/>
          <w:color w:val="auto"/>
          <w:sz w:val="44"/>
        </w:rPr>
        <w:t xml:space="preserve">项目名称：东莞市松山湖第一小学厨房用具采购项目 </w:t>
      </w:r>
    </w:p>
    <w:p>
      <w:pPr>
        <w:rPr>
          <w:rFonts w:hint="eastAsia" w:ascii="宋体" w:hAnsi="宋体" w:eastAsia="宋体" w:cs="宋体"/>
          <w:bCs/>
          <w:color w:val="auto"/>
          <w:sz w:val="44"/>
        </w:rPr>
      </w:pPr>
      <w:r>
        <w:rPr>
          <w:rFonts w:hint="eastAsia" w:ascii="宋体" w:hAnsi="宋体" w:eastAsia="宋体" w:cs="宋体"/>
          <w:bCs/>
          <w:color w:val="auto"/>
          <w:sz w:val="44"/>
          <w:lang w:eastAsia="zh-CN"/>
        </w:rPr>
        <w:t>采购项目编号</w:t>
      </w:r>
      <w:r>
        <w:rPr>
          <w:rFonts w:hint="eastAsia" w:ascii="宋体" w:hAnsi="宋体" w:eastAsia="宋体" w:cs="宋体"/>
          <w:bCs/>
          <w:color w:val="auto"/>
          <w:sz w:val="44"/>
        </w:rPr>
        <w:t xml:space="preserve">：0832-SFCX20DG205A </w:t>
      </w:r>
    </w:p>
    <w:p>
      <w:pPr>
        <w:rPr>
          <w:rFonts w:hint="eastAsia" w:ascii="宋体" w:hAnsi="宋体" w:eastAsia="宋体" w:cs="宋体"/>
          <w:bCs/>
          <w:color w:val="auto"/>
          <w:sz w:val="28"/>
        </w:rPr>
      </w:pPr>
      <w:r>
        <w:rPr>
          <w:rFonts w:hint="eastAsia" w:ascii="宋体" w:hAnsi="宋体" w:eastAsia="宋体" w:cs="宋体"/>
          <w:bCs/>
          <w:color w:val="auto"/>
          <w:sz w:val="44"/>
        </w:rPr>
        <w:t>采购人：东莞市松山湖第一小学</w:t>
      </w:r>
      <w:r>
        <w:rPr>
          <w:rFonts w:hint="eastAsia" w:ascii="宋体" w:hAnsi="宋体" w:eastAsia="宋体" w:cs="宋体"/>
          <w:bCs/>
          <w:color w:val="auto"/>
          <w:sz w:val="28"/>
        </w:rPr>
        <w:t xml:space="preserve"> </w:t>
      </w:r>
    </w:p>
    <w:p>
      <w:pPr>
        <w:jc w:val="center"/>
        <w:rPr>
          <w:rFonts w:hint="eastAsia" w:ascii="宋体" w:hAnsi="宋体" w:eastAsia="宋体" w:cs="宋体"/>
          <w:color w:val="auto"/>
          <w:szCs w:val="21"/>
        </w:rPr>
      </w:pPr>
    </w:p>
    <w:p>
      <w:pPr>
        <w:jc w:val="center"/>
        <w:rPr>
          <w:rFonts w:hint="eastAsia" w:ascii="宋体" w:hAnsi="宋体" w:eastAsia="宋体" w:cs="宋体"/>
          <w:color w:val="auto"/>
          <w:szCs w:val="21"/>
        </w:rPr>
      </w:pPr>
    </w:p>
    <w:p>
      <w:pPr>
        <w:jc w:val="center"/>
        <w:rPr>
          <w:rFonts w:hint="eastAsia" w:ascii="宋体" w:hAnsi="宋体" w:eastAsia="宋体" w:cs="宋体"/>
          <w:color w:val="auto"/>
          <w:szCs w:val="21"/>
        </w:rPr>
      </w:pPr>
    </w:p>
    <w:p>
      <w:pPr>
        <w:jc w:val="center"/>
        <w:rPr>
          <w:rFonts w:hint="eastAsia" w:ascii="宋体" w:hAnsi="宋体" w:eastAsia="宋体" w:cs="宋体"/>
          <w:color w:val="auto"/>
          <w:szCs w:val="21"/>
        </w:rPr>
      </w:pPr>
    </w:p>
    <w:p>
      <w:pPr>
        <w:jc w:val="center"/>
        <w:rPr>
          <w:rFonts w:hint="eastAsia" w:ascii="宋体" w:hAnsi="宋体" w:eastAsia="宋体" w:cs="宋体"/>
          <w:color w:val="auto"/>
          <w:szCs w:val="21"/>
        </w:rPr>
      </w:pPr>
    </w:p>
    <w:p>
      <w:pPr>
        <w:jc w:val="center"/>
        <w:rPr>
          <w:rFonts w:hint="eastAsia" w:ascii="宋体" w:hAnsi="宋体" w:eastAsia="宋体" w:cs="宋体"/>
          <w:color w:val="auto"/>
          <w:sz w:val="52"/>
          <w:szCs w:val="44"/>
          <w:lang w:eastAsia="zh-CN"/>
        </w:rPr>
      </w:pPr>
      <w:r>
        <w:rPr>
          <w:rFonts w:hint="eastAsia" w:ascii="宋体" w:hAnsi="宋体" w:eastAsia="宋体" w:cs="宋体"/>
          <w:color w:val="auto"/>
          <w:sz w:val="52"/>
          <w:szCs w:val="44"/>
          <w:lang w:eastAsia="zh-CN"/>
        </w:rPr>
        <w:t>三方诚信招标有限公司</w:t>
      </w:r>
    </w:p>
    <w:p>
      <w:pPr>
        <w:jc w:val="center"/>
        <w:rPr>
          <w:rFonts w:hint="eastAsia" w:ascii="宋体" w:hAnsi="宋体" w:eastAsia="宋体" w:cs="宋体"/>
          <w:color w:val="auto"/>
          <w:sz w:val="52"/>
          <w:szCs w:val="44"/>
        </w:rPr>
      </w:pPr>
      <w:r>
        <w:rPr>
          <w:rFonts w:hint="eastAsia" w:ascii="宋体" w:hAnsi="宋体" w:eastAsia="宋体" w:cs="宋体"/>
          <w:color w:val="auto"/>
          <w:sz w:val="52"/>
          <w:szCs w:val="44"/>
        </w:rPr>
        <w:t>东莞分公司</w:t>
      </w:r>
    </w:p>
    <w:p>
      <w:pPr>
        <w:pStyle w:val="14"/>
        <w:rPr>
          <w:rFonts w:hint="eastAsia" w:ascii="宋体" w:hAnsi="宋体" w:eastAsia="宋体" w:cs="宋体"/>
          <w:color w:val="auto"/>
          <w:sz w:val="32"/>
          <w:szCs w:val="32"/>
        </w:rPr>
        <w:sectPr>
          <w:headerReference r:id="rId3" w:type="default"/>
          <w:pgSz w:w="11906" w:h="16838"/>
          <w:pgMar w:top="1440" w:right="1800" w:bottom="1440" w:left="1800" w:header="708" w:footer="708" w:gutter="0"/>
          <w:pgNumType w:start="0"/>
          <w:cols w:space="708" w:num="1"/>
          <w:titlePg/>
          <w:docGrid w:type="lines" w:linePitch="360" w:charSpace="0"/>
        </w:sectPr>
      </w:pPr>
    </w:p>
    <w:p>
      <w:pPr>
        <w:pStyle w:val="14"/>
        <w:rPr>
          <w:rFonts w:hint="eastAsia" w:ascii="宋体" w:hAnsi="宋体" w:eastAsia="宋体" w:cs="宋体"/>
          <w:color w:val="auto"/>
          <w:sz w:val="40"/>
          <w:szCs w:val="40"/>
        </w:rPr>
      </w:pPr>
      <w:r>
        <w:rPr>
          <w:rFonts w:hint="eastAsia" w:ascii="宋体" w:hAnsi="宋体" w:eastAsia="宋体" w:cs="宋体"/>
          <w:color w:val="auto"/>
          <w:sz w:val="40"/>
          <w:szCs w:val="40"/>
        </w:rPr>
        <w:t>目录</w:t>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TOC \o "1-4" \h \z \u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_Toc17720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投标邀请书</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_Toc17720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4"/>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_Toc1854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第二部分 相关资料表格</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_Toc1854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_Toc1210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附表一：投标资料表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_Toc1210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_Toc11083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附表二：商务技术评分及价格权重表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_Toc11083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4"/>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_Toc23932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第三部分 用户需求书</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_Toc23932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_Toc3182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用户需求明细</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_Toc3182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4"/>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_Toc18811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第四部分 投标人须知</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_Toc18811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_Toc9559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一、 说明</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_Toc9559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_Toc18092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1.适用范围</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_Toc18092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_Toc14885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2.定义</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_Toc14885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_Toc14014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3.货物和服务</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_Toc14014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_Toc25490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4.投标费用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_Toc25490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_Toc15919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5.知识产权</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_Toc15919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_Toc28736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6.关于联合体投标</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_Toc28736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26</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_Toc9408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7.关于分支机构投标</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_Toc9408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26</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_Toc13781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二、 招标文件</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_Toc13781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_Toc2761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8.招标文件的组成</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_Toc2761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_Toc30594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9.招标文件的澄清或修改</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_Toc30594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_Toc8709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三、 投标文件的编制</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_Toc8709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_Toc30245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10.投标文件的语言及度量衡单位</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_Toc30245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_Toc19904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11.投标文件的组成</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_Toc19904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_Toc7724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12.投标文件编制</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_Toc7724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_Toc28060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13.投标报价说明</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_Toc28060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_Toc10722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14.投标人所提供的服务或货物的证明文件</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_Toc10722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_Toc28478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15.投标有效期</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_Toc28478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_Toc718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16.投标保证金</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_Toc718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_Toc26276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四、投标文件的递交</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_Toc26276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29</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_Toc17218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17.投标文件的装订，签署，密封和标记</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_Toc17218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29</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_Toc10743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18.迟交的投标文件</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_Toc10743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30</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_Toc348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19.投标样品（如需提交）</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_Toc348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30</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_Toc5391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20.投标截止期</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_Toc5391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31</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_Toc5886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21.投标文件的补充、修改与撤回</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_Toc5886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31</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_Toc31243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五、 开标与评标</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_Toc31243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31</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_Toc30340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22.开标</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_Toc30340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31</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_Toc12198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23.评标委员会及评标方法</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_Toc12198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32</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_Toc23115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24.评审原则及评标过程的保密</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_Toc23115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32</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_Toc29486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25.投标文件的初审</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_Toc29486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32</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_Toc19775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26.商务、技术、价格评审（具体评审项目详见投标资料表）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_Toc19775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34</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_Toc17229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27.优惠政策</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_Toc17229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34</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_Toc15628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28.纪律和保密事项</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_Toc15628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36</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_Toc16902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六、 授予合同</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_Toc16902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36</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_Toc2727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29.合同授予标准</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_Toc2727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36</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_Toc24457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30.发布中标结果</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_Toc24457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36</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_Toc29766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31.合同的签订与履行</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_Toc29766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_Toc23764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32.履约保证金</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_Toc23764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_Toc19464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七、 询问或质疑</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_Toc19464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_Toc27711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33.询问</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_Toc27711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_Toc18644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34.质疑</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_Toc18644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_Toc10071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八、 其他</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_Toc10071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_Toc27449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35.招标文件的解释权</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_Toc27449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4"/>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_Toc3263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第五部分 合同格式（仅供参考）</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_Toc3263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39</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_Toc32348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合同格式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_Toc32348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39</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4"/>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_Toc3566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第六部分  附件－投标文件格式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_Toc3566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42</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_Toc15661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附件1.投标文件目录</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_Toc15661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42</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_Toc13312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附件1-1 评分标准索引表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_Toc13312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43</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_Toc9857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附件2.投标书格式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_Toc9857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44</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_Toc23548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附件3.开标一览表格式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_Toc23548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_Toc7877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附件4. 投标分项报价表格式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_Toc7877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46</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_Toc20013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附件5. 法定代表人证明书格式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_Toc20013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49</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_Toc13402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附件6.法定代表人授权书格式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_Toc13402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50</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_Toc20880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附件7.资格申明</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_Toc20880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51</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_Toc17384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附件8.营业执照</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_Toc17384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52</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_Toc9057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附件9.相关资质证明文件</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_Toc9057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53</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_Toc25635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附件10. 商务条款偏离表格式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_Toc25635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54</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_Toc15430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附件11. 技术规格偏离表格式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_Toc15430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_Toc31958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附件12.重要技术参数（▲）响应表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_Toc31958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56</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_Toc26041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附件13.业绩表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_Toc26041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_Toc11366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附件14. 项目实施方案格式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_Toc11366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_Toc9262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附件15. 实施本项目的有关人员资料表格式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_Toc9262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59</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_Toc30553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附件16.投标货物说明一览表格式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_Toc30553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60</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_Toc13438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附件17.在经营活动中没有重大违法记录的书面声明格式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_Toc13438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61</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_Toc26259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附件18.中小企业声明函（投标人为中小企业时适用）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_Toc26259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62</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_Toc11132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附件19.《残疾人福利性单位声明函》（残疾人福利性单位适用）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_Toc11132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63</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_Toc17460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附件20.投标保证金汇入情况说明格式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_Toc17460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64</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_Toc8186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附件2</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.获取招标文件登记表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_Toc8186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66</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Cs w:val="21"/>
        </w:rPr>
      </w:pPr>
      <w:r>
        <w:rPr>
          <w:rFonts w:hint="eastAsia" w:ascii="宋体" w:hAnsi="宋体" w:eastAsia="宋体" w:cs="宋体"/>
          <w:color w:val="auto"/>
          <w:szCs w:val="21"/>
        </w:rPr>
        <w:br w:type="page"/>
      </w:r>
    </w:p>
    <w:p>
      <w:pPr>
        <w:pStyle w:val="3"/>
        <w:spacing w:before="0" w:after="0" w:line="240" w:lineRule="auto"/>
        <w:rPr>
          <w:rFonts w:hint="eastAsia" w:ascii="宋体" w:hAnsi="宋体" w:eastAsia="宋体" w:cs="宋体"/>
          <w:b/>
          <w:bCs/>
          <w:color w:val="auto"/>
          <w:sz w:val="28"/>
          <w:szCs w:val="28"/>
        </w:rPr>
      </w:pPr>
      <w:r>
        <w:rPr>
          <w:rFonts w:hint="eastAsia" w:ascii="宋体" w:hAnsi="宋体" w:eastAsia="宋体" w:cs="宋体"/>
          <w:b/>
          <w:bCs/>
          <w:color w:val="auto"/>
          <w:sz w:val="28"/>
          <w:szCs w:val="28"/>
        </w:rPr>
        <w:t xml:space="preserve">第一部分 </w:t>
      </w:r>
      <w:r>
        <w:rPr>
          <w:rFonts w:hint="eastAsia" w:ascii="宋体" w:hAnsi="宋体" w:eastAsia="宋体" w:cs="宋体"/>
          <w:color w:val="auto"/>
          <w:sz w:val="28"/>
          <w:szCs w:val="28"/>
        </w:rPr>
        <w:t>投标</w:t>
      </w:r>
      <w:r>
        <w:rPr>
          <w:rFonts w:hint="eastAsia" w:ascii="宋体" w:hAnsi="宋体" w:eastAsia="宋体" w:cs="宋体"/>
          <w:b/>
          <w:bCs/>
          <w:color w:val="auto"/>
          <w:sz w:val="28"/>
          <w:szCs w:val="28"/>
        </w:rPr>
        <w:t>邀请</w:t>
      </w:r>
    </w:p>
    <w:p>
      <w:pPr>
        <w:pStyle w:val="4"/>
        <w:spacing w:before="0" w:after="0" w:line="360" w:lineRule="auto"/>
        <w:jc w:val="center"/>
        <w:rPr>
          <w:rFonts w:hint="eastAsia" w:ascii="宋体" w:hAnsi="宋体" w:eastAsia="宋体" w:cs="宋体"/>
          <w:color w:val="auto"/>
        </w:rPr>
      </w:pPr>
      <w:bookmarkStart w:id="0" w:name="_Toc17720"/>
      <w:r>
        <w:rPr>
          <w:rFonts w:hint="eastAsia" w:ascii="宋体" w:hAnsi="宋体" w:eastAsia="宋体" w:cs="宋体"/>
          <w:color w:val="auto"/>
        </w:rPr>
        <w:t>投标邀请书</w:t>
      </w:r>
      <w:bookmarkEnd w:id="0"/>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三方诚信招标有限公司</w:t>
      </w:r>
      <w:r>
        <w:rPr>
          <w:rFonts w:hint="eastAsia" w:ascii="宋体" w:hAnsi="宋体" w:eastAsia="宋体" w:cs="宋体"/>
          <w:color w:val="auto"/>
          <w:sz w:val="21"/>
          <w:szCs w:val="21"/>
        </w:rPr>
        <w:t>东莞分公司（以下简称“采购代理机构”）受</w:t>
      </w:r>
      <w:r>
        <w:rPr>
          <w:rFonts w:hint="eastAsia" w:ascii="宋体" w:hAnsi="宋体" w:eastAsia="宋体" w:cs="宋体"/>
          <w:b/>
          <w:color w:val="auto"/>
          <w:sz w:val="21"/>
          <w:szCs w:val="21"/>
          <w:u w:val="single"/>
        </w:rPr>
        <w:t>东莞市松山湖第一小学</w:t>
      </w:r>
      <w:r>
        <w:rPr>
          <w:rFonts w:hint="eastAsia" w:ascii="宋体" w:hAnsi="宋体" w:eastAsia="宋体" w:cs="宋体"/>
          <w:color w:val="auto"/>
          <w:sz w:val="21"/>
          <w:szCs w:val="21"/>
        </w:rPr>
        <w:t>（以下简称“采购人”）委托，现就</w:t>
      </w:r>
      <w:r>
        <w:rPr>
          <w:rFonts w:hint="eastAsia" w:ascii="宋体" w:hAnsi="宋体" w:eastAsia="宋体" w:cs="宋体"/>
          <w:b/>
          <w:color w:val="auto"/>
          <w:sz w:val="21"/>
          <w:szCs w:val="21"/>
          <w:u w:val="single"/>
        </w:rPr>
        <w:t>东莞市松山湖第一小学厨房用具采购项目</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采购项目编号</w:t>
      </w:r>
      <w:r>
        <w:rPr>
          <w:rFonts w:hint="eastAsia" w:ascii="宋体" w:hAnsi="宋体" w:eastAsia="宋体" w:cs="宋体"/>
          <w:color w:val="auto"/>
          <w:sz w:val="21"/>
          <w:szCs w:val="21"/>
        </w:rPr>
        <w:t>：</w:t>
      </w:r>
      <w:r>
        <w:rPr>
          <w:rFonts w:hint="eastAsia" w:ascii="宋体" w:hAnsi="宋体" w:eastAsia="宋体" w:cs="宋体"/>
          <w:b/>
          <w:color w:val="auto"/>
          <w:sz w:val="21"/>
          <w:szCs w:val="21"/>
          <w:u w:val="single"/>
          <w:lang w:val="en-US" w:eastAsia="zh-CN"/>
        </w:rPr>
        <w:t>0832-SFCX20DG205A</w:t>
      </w:r>
      <w:r>
        <w:rPr>
          <w:rFonts w:hint="eastAsia" w:ascii="宋体" w:hAnsi="宋体" w:eastAsia="宋体" w:cs="宋体"/>
          <w:color w:val="auto"/>
          <w:sz w:val="21"/>
          <w:szCs w:val="21"/>
        </w:rPr>
        <w:t>）进行国内公开招标采购，欢迎符合招标文件要求的国内投标人参加投标。有关事项如下：</w:t>
      </w: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一、招标项目的名称、用途、简要技术要求或者招标项目的性质</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1、项目内容：</w:t>
      </w:r>
      <w:r>
        <w:rPr>
          <w:rFonts w:hint="eastAsia" w:ascii="宋体" w:hAnsi="宋体" w:eastAsia="宋体" w:cs="宋体"/>
          <w:b/>
          <w:color w:val="auto"/>
          <w:sz w:val="21"/>
          <w:szCs w:val="21"/>
          <w:u w:val="single"/>
        </w:rPr>
        <w:t>东莞市松山湖第一小学厨房用具</w:t>
      </w:r>
      <w:r>
        <w:rPr>
          <w:rFonts w:hint="eastAsia" w:ascii="宋体" w:hAnsi="宋体" w:eastAsia="宋体" w:cs="宋体"/>
          <w:color w:val="auto"/>
          <w:sz w:val="21"/>
          <w:szCs w:val="21"/>
        </w:rPr>
        <w:t>采购一项，预算：</w:t>
      </w:r>
      <w:r>
        <w:rPr>
          <w:rFonts w:hint="eastAsia" w:ascii="宋体" w:hAnsi="宋体" w:eastAsia="宋体" w:cs="宋体"/>
          <w:b/>
          <w:color w:val="auto"/>
          <w:sz w:val="21"/>
          <w:szCs w:val="21"/>
          <w:u w:val="single"/>
          <w:lang w:val="en-US" w:eastAsia="zh-CN"/>
        </w:rPr>
        <w:t>450,105.33</w:t>
      </w:r>
      <w:r>
        <w:rPr>
          <w:rFonts w:hint="eastAsia" w:ascii="宋体" w:hAnsi="宋体" w:eastAsia="宋体" w:cs="宋体"/>
          <w:color w:val="auto"/>
          <w:sz w:val="21"/>
          <w:szCs w:val="21"/>
        </w:rPr>
        <w:t>元。</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2、简要技术要求或招标项目的性质：详细内容请参阅招标文件第三部分《用户需求书》。</w:t>
      </w: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二、投标人资格要求</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1、一般要求：</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（1）须符合《中华人民共和国政府采购法》第二十二条规定（需提供书面承诺）；</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（2）参加采购活动前三年内，在经营活动中没有重大违法记录（须提供书面声明）；</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3）本项目不接受联合体投标；投标人的单位负责人为同一人或者存在直接控股、管理关系的不同投标人，不得参加同一合同项下的政府采购活动。为本项目提供整体设计、规范编制或者项目管理、监理、检测等服务的投标人，不得参加本采购项目的采购活动； </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（4）未被列入“信用中国”网站(www.creditchina.gov.cn )“记录失信被执行人或重大税收违法案件当事人名单或政府采购严重违法失信行为”记录名单；不处于中国政府采购网(www.ccgp.gov.cn )“政府采购严重违法失信行为信息记录”中的禁止参加政府采购活动期间。以代理机构于投标截止日当天在“信用中国”网站及中国政府采购网查询结果为准，如相关失信记录已失效，投标人需提供相关证明资料。</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2、特殊要求：</w:t>
      </w:r>
      <w:r>
        <w:rPr>
          <w:rFonts w:hint="eastAsia" w:ascii="宋体" w:hAnsi="宋体" w:eastAsia="宋体" w:cs="宋体"/>
          <w:color w:val="auto"/>
          <w:sz w:val="21"/>
          <w:szCs w:val="21"/>
          <w:lang w:eastAsia="zh-CN"/>
        </w:rPr>
        <w:t>无</w:t>
      </w: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三、项目公示时间、报名时间、地点、方式及招标文件售价</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1、项目公示时间：20</w:t>
      </w:r>
      <w:r>
        <w:rPr>
          <w:rFonts w:hint="eastAsia" w:ascii="宋体" w:hAnsi="宋体" w:eastAsia="宋体" w:cs="宋体"/>
          <w:color w:val="auto"/>
          <w:sz w:val="21"/>
          <w:szCs w:val="21"/>
          <w:lang w:val="en-US" w:eastAsia="zh-CN"/>
        </w:rPr>
        <w:t>20</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19</w:t>
      </w:r>
      <w:r>
        <w:rPr>
          <w:rFonts w:hint="eastAsia" w:ascii="宋体" w:hAnsi="宋体" w:eastAsia="宋体" w:cs="宋体"/>
          <w:color w:val="auto"/>
          <w:sz w:val="21"/>
          <w:szCs w:val="21"/>
        </w:rPr>
        <w:t>日起至20</w:t>
      </w:r>
      <w:r>
        <w:rPr>
          <w:rFonts w:hint="eastAsia" w:ascii="宋体" w:hAnsi="宋体" w:eastAsia="宋体" w:cs="宋体"/>
          <w:color w:val="auto"/>
          <w:sz w:val="21"/>
          <w:szCs w:val="21"/>
          <w:lang w:val="en-US" w:eastAsia="zh-CN"/>
        </w:rPr>
        <w:t>20</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26</w:t>
      </w:r>
      <w:r>
        <w:rPr>
          <w:rFonts w:hint="eastAsia" w:ascii="宋体" w:hAnsi="宋体" w:eastAsia="宋体" w:cs="宋体"/>
          <w:color w:val="auto"/>
          <w:sz w:val="21"/>
          <w:szCs w:val="21"/>
        </w:rPr>
        <w:t>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2、报名时间：20</w:t>
      </w:r>
      <w:r>
        <w:rPr>
          <w:rFonts w:hint="eastAsia" w:ascii="宋体" w:hAnsi="宋体" w:eastAsia="宋体" w:cs="宋体"/>
          <w:color w:val="auto"/>
          <w:sz w:val="21"/>
          <w:szCs w:val="21"/>
          <w:lang w:val="en-US" w:eastAsia="zh-CN"/>
        </w:rPr>
        <w:t>20</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19</w:t>
      </w:r>
      <w:r>
        <w:rPr>
          <w:rFonts w:hint="eastAsia" w:ascii="宋体" w:hAnsi="宋体" w:eastAsia="宋体" w:cs="宋体"/>
          <w:color w:val="auto"/>
          <w:sz w:val="21"/>
          <w:szCs w:val="21"/>
        </w:rPr>
        <w:t>日起至20</w:t>
      </w:r>
      <w:r>
        <w:rPr>
          <w:rFonts w:hint="eastAsia" w:ascii="宋体" w:hAnsi="宋体" w:eastAsia="宋体" w:cs="宋体"/>
          <w:color w:val="auto"/>
          <w:sz w:val="21"/>
          <w:szCs w:val="21"/>
          <w:lang w:val="en-US" w:eastAsia="zh-CN"/>
        </w:rPr>
        <w:t>20</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26</w:t>
      </w:r>
      <w:r>
        <w:rPr>
          <w:rFonts w:hint="eastAsia" w:ascii="宋体" w:hAnsi="宋体" w:eastAsia="宋体" w:cs="宋体"/>
          <w:color w:val="auto"/>
          <w:sz w:val="21"/>
          <w:szCs w:val="21"/>
        </w:rPr>
        <w:t>日（节假日除外），上午9：00～12：00，下午14：</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0～17：</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 xml:space="preserve">0（北京时间）。 </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3、项目报名地点：东莞市南城街道鸿福西路81号国际商会大厦</w:t>
      </w:r>
      <w:r>
        <w:rPr>
          <w:rFonts w:hint="eastAsia" w:ascii="宋体" w:hAnsi="宋体" w:eastAsia="宋体" w:cs="宋体"/>
          <w:color w:val="auto"/>
          <w:sz w:val="21"/>
          <w:szCs w:val="21"/>
          <w:lang w:val="en-US" w:eastAsia="zh-CN"/>
        </w:rPr>
        <w:t>706</w:t>
      </w:r>
      <w:r>
        <w:rPr>
          <w:rFonts w:hint="eastAsia" w:ascii="宋体" w:hAnsi="宋体" w:eastAsia="宋体" w:cs="宋体"/>
          <w:color w:val="auto"/>
          <w:sz w:val="21"/>
          <w:szCs w:val="21"/>
        </w:rPr>
        <w:t>室。</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联系人：</w:t>
      </w:r>
      <w:r>
        <w:rPr>
          <w:rFonts w:hint="eastAsia" w:ascii="宋体" w:hAnsi="宋体" w:eastAsia="宋体" w:cs="宋体"/>
          <w:color w:val="auto"/>
          <w:sz w:val="21"/>
          <w:szCs w:val="21"/>
          <w:lang w:val="en-US" w:eastAsia="zh-CN"/>
        </w:rPr>
        <w:t>黄雯静</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联系电话：0769-21682660</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4、报名方式：</w:t>
      </w:r>
      <w:r>
        <w:rPr>
          <w:rFonts w:hint="eastAsia" w:ascii="宋体" w:hAnsi="宋体" w:eastAsia="宋体" w:cs="宋体"/>
          <w:color w:val="auto"/>
          <w:sz w:val="21"/>
          <w:szCs w:val="21"/>
          <w:lang w:eastAsia="zh-CN"/>
        </w:rPr>
        <w:t>现场</w:t>
      </w:r>
      <w:r>
        <w:rPr>
          <w:rFonts w:hint="eastAsia" w:ascii="宋体" w:hAnsi="宋体" w:eastAsia="宋体" w:cs="宋体"/>
          <w:color w:val="auto"/>
          <w:sz w:val="21"/>
          <w:szCs w:val="21"/>
        </w:rPr>
        <w:t>报名。</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投标人在购买招标文件时须提供如下证明材料：《营业执照》复印件（加盖公章）或《事业单位法人证书》复印件（加盖公章）或其他主体证书复印件（加盖公章）</w:t>
      </w:r>
      <w:r>
        <w:rPr>
          <w:rFonts w:hint="eastAsia" w:ascii="宋体" w:hAnsi="宋体" w:eastAsia="宋体" w:cs="宋体"/>
          <w:color w:val="auto"/>
          <w:sz w:val="21"/>
          <w:szCs w:val="21"/>
          <w:lang w:val="en-US" w:eastAsia="zh-CN"/>
        </w:rPr>
        <w:t>.</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5、招标文件售价：每套人民币150元。</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6、购买了招标文件，而不参加投标的投标人，请在开标日期三日前以纸质版形式通知采购代理机构。</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四、投标截止时间、开标时间及地点</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1、递交投标文件时间：20</w:t>
      </w:r>
      <w:r>
        <w:rPr>
          <w:rFonts w:hint="eastAsia" w:ascii="宋体" w:hAnsi="宋体" w:eastAsia="宋体" w:cs="宋体"/>
          <w:bCs/>
          <w:color w:val="auto"/>
          <w:sz w:val="21"/>
          <w:szCs w:val="21"/>
          <w:lang w:val="en-US" w:eastAsia="zh-CN"/>
        </w:rPr>
        <w:t>20</w:t>
      </w:r>
      <w:r>
        <w:rPr>
          <w:rFonts w:hint="eastAsia" w:ascii="宋体" w:hAnsi="宋体" w:eastAsia="宋体" w:cs="宋体"/>
          <w:bCs/>
          <w:color w:val="auto"/>
          <w:sz w:val="21"/>
          <w:szCs w:val="21"/>
        </w:rPr>
        <w:t>年</w:t>
      </w:r>
      <w:r>
        <w:rPr>
          <w:rFonts w:hint="eastAsia" w:ascii="宋体" w:hAnsi="宋体" w:eastAsia="宋体" w:cs="宋体"/>
          <w:bCs/>
          <w:color w:val="auto"/>
          <w:sz w:val="21"/>
          <w:szCs w:val="21"/>
          <w:lang w:val="en-US" w:eastAsia="zh-CN"/>
        </w:rPr>
        <w:t>9</w:t>
      </w:r>
      <w:r>
        <w:rPr>
          <w:rFonts w:hint="eastAsia" w:ascii="宋体" w:hAnsi="宋体" w:eastAsia="宋体" w:cs="宋体"/>
          <w:bCs/>
          <w:color w:val="auto"/>
          <w:sz w:val="21"/>
          <w:szCs w:val="21"/>
        </w:rPr>
        <w:t>月</w:t>
      </w:r>
      <w:r>
        <w:rPr>
          <w:rFonts w:hint="eastAsia" w:ascii="宋体" w:hAnsi="宋体" w:eastAsia="宋体" w:cs="宋体"/>
          <w:bCs/>
          <w:color w:val="auto"/>
          <w:sz w:val="21"/>
          <w:szCs w:val="21"/>
          <w:lang w:val="en-US" w:eastAsia="zh-CN"/>
        </w:rPr>
        <w:t>9</w:t>
      </w:r>
      <w:r>
        <w:rPr>
          <w:rFonts w:hint="eastAsia" w:ascii="宋体" w:hAnsi="宋体" w:eastAsia="宋体" w:cs="宋体"/>
          <w:bCs/>
          <w:color w:val="auto"/>
          <w:sz w:val="21"/>
          <w:szCs w:val="21"/>
        </w:rPr>
        <w:t>日</w:t>
      </w:r>
      <w:r>
        <w:rPr>
          <w:rFonts w:hint="eastAsia" w:ascii="宋体" w:hAnsi="宋体" w:eastAsia="宋体" w:cs="宋体"/>
          <w:bCs/>
          <w:color w:val="auto"/>
          <w:sz w:val="21"/>
          <w:szCs w:val="21"/>
          <w:lang w:eastAsia="zh-CN"/>
        </w:rPr>
        <w:t>下</w:t>
      </w:r>
      <w:r>
        <w:rPr>
          <w:rFonts w:hint="eastAsia" w:ascii="宋体" w:hAnsi="宋体" w:eastAsia="宋体" w:cs="宋体"/>
          <w:bCs/>
          <w:color w:val="auto"/>
          <w:sz w:val="21"/>
          <w:szCs w:val="21"/>
        </w:rPr>
        <w:t>午</w:t>
      </w:r>
      <w:r>
        <w:rPr>
          <w:rFonts w:hint="eastAsia" w:ascii="宋体" w:hAnsi="宋体" w:eastAsia="宋体" w:cs="宋体"/>
          <w:bCs/>
          <w:color w:val="auto"/>
          <w:sz w:val="21"/>
          <w:szCs w:val="21"/>
          <w:lang w:val="en-US" w:eastAsia="zh-CN"/>
        </w:rPr>
        <w:t>14</w:t>
      </w:r>
      <w:r>
        <w:rPr>
          <w:rFonts w:hint="eastAsia" w:ascii="宋体" w:hAnsi="宋体" w:eastAsia="宋体" w:cs="宋体"/>
          <w:bCs/>
          <w:color w:val="auto"/>
          <w:sz w:val="21"/>
          <w:szCs w:val="21"/>
        </w:rPr>
        <w:t>：</w:t>
      </w:r>
      <w:r>
        <w:rPr>
          <w:rFonts w:hint="eastAsia" w:ascii="宋体" w:hAnsi="宋体" w:eastAsia="宋体" w:cs="宋体"/>
          <w:bCs/>
          <w:color w:val="auto"/>
          <w:sz w:val="21"/>
          <w:szCs w:val="21"/>
          <w:lang w:val="en-US" w:eastAsia="zh-CN"/>
        </w:rPr>
        <w:t>3</w:t>
      </w:r>
      <w:r>
        <w:rPr>
          <w:rFonts w:hint="eastAsia" w:ascii="宋体" w:hAnsi="宋体" w:eastAsia="宋体" w:cs="宋体"/>
          <w:bCs/>
          <w:color w:val="auto"/>
          <w:sz w:val="21"/>
          <w:szCs w:val="21"/>
        </w:rPr>
        <w:t>0～</w:t>
      </w:r>
      <w:r>
        <w:rPr>
          <w:rFonts w:hint="eastAsia" w:ascii="宋体" w:hAnsi="宋体" w:eastAsia="宋体" w:cs="宋体"/>
          <w:bCs/>
          <w:color w:val="auto"/>
          <w:sz w:val="21"/>
          <w:szCs w:val="21"/>
          <w:lang w:val="en-US" w:eastAsia="zh-CN"/>
        </w:rPr>
        <w:t>15</w:t>
      </w:r>
      <w:r>
        <w:rPr>
          <w:rFonts w:hint="eastAsia" w:ascii="宋体" w:hAnsi="宋体" w:eastAsia="宋体" w:cs="宋体"/>
          <w:bCs/>
          <w:color w:val="auto"/>
          <w:sz w:val="21"/>
          <w:szCs w:val="21"/>
        </w:rPr>
        <w:t>：</w:t>
      </w:r>
      <w:r>
        <w:rPr>
          <w:rFonts w:hint="eastAsia" w:ascii="宋体" w:hAnsi="宋体" w:eastAsia="宋体" w:cs="宋体"/>
          <w:bCs/>
          <w:color w:val="auto"/>
          <w:sz w:val="21"/>
          <w:szCs w:val="21"/>
          <w:lang w:val="en-US" w:eastAsia="zh-CN"/>
        </w:rPr>
        <w:t>0</w:t>
      </w:r>
      <w:r>
        <w:rPr>
          <w:rFonts w:hint="eastAsia" w:ascii="宋体" w:hAnsi="宋体" w:eastAsia="宋体" w:cs="宋体"/>
          <w:bCs/>
          <w:color w:val="auto"/>
          <w:sz w:val="21"/>
          <w:szCs w:val="21"/>
        </w:rPr>
        <w:t>0。</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2、投标截止及开标时间：20</w:t>
      </w:r>
      <w:r>
        <w:rPr>
          <w:rFonts w:hint="eastAsia" w:ascii="宋体" w:hAnsi="宋体" w:eastAsia="宋体" w:cs="宋体"/>
          <w:bCs/>
          <w:color w:val="auto"/>
          <w:sz w:val="21"/>
          <w:szCs w:val="21"/>
          <w:lang w:val="en-US" w:eastAsia="zh-CN"/>
        </w:rPr>
        <w:t>20</w:t>
      </w:r>
      <w:r>
        <w:rPr>
          <w:rFonts w:hint="eastAsia" w:ascii="宋体" w:hAnsi="宋体" w:eastAsia="宋体" w:cs="宋体"/>
          <w:bCs/>
          <w:color w:val="auto"/>
          <w:sz w:val="21"/>
          <w:szCs w:val="21"/>
        </w:rPr>
        <w:t>年</w:t>
      </w:r>
      <w:r>
        <w:rPr>
          <w:rFonts w:hint="eastAsia" w:ascii="宋体" w:hAnsi="宋体" w:eastAsia="宋体" w:cs="宋体"/>
          <w:bCs/>
          <w:color w:val="auto"/>
          <w:sz w:val="21"/>
          <w:szCs w:val="21"/>
          <w:lang w:val="en-US" w:eastAsia="zh-CN"/>
        </w:rPr>
        <w:t>9</w:t>
      </w:r>
      <w:r>
        <w:rPr>
          <w:rFonts w:hint="eastAsia" w:ascii="宋体" w:hAnsi="宋体" w:eastAsia="宋体" w:cs="宋体"/>
          <w:bCs/>
          <w:color w:val="auto"/>
          <w:sz w:val="21"/>
          <w:szCs w:val="21"/>
        </w:rPr>
        <w:t>月</w:t>
      </w:r>
      <w:r>
        <w:rPr>
          <w:rFonts w:hint="eastAsia" w:ascii="宋体" w:hAnsi="宋体" w:eastAsia="宋体" w:cs="宋体"/>
          <w:bCs/>
          <w:color w:val="auto"/>
          <w:sz w:val="21"/>
          <w:szCs w:val="21"/>
          <w:lang w:val="en-US" w:eastAsia="zh-CN"/>
        </w:rPr>
        <w:t>9</w:t>
      </w:r>
      <w:r>
        <w:rPr>
          <w:rFonts w:hint="eastAsia" w:ascii="宋体" w:hAnsi="宋体" w:eastAsia="宋体" w:cs="宋体"/>
          <w:bCs/>
          <w:color w:val="auto"/>
          <w:sz w:val="21"/>
          <w:szCs w:val="21"/>
        </w:rPr>
        <w:t>日</w:t>
      </w:r>
      <w:r>
        <w:rPr>
          <w:rFonts w:hint="eastAsia" w:ascii="宋体" w:hAnsi="宋体" w:eastAsia="宋体" w:cs="宋体"/>
          <w:bCs/>
          <w:color w:val="auto"/>
          <w:sz w:val="21"/>
          <w:szCs w:val="21"/>
          <w:lang w:eastAsia="zh-CN"/>
        </w:rPr>
        <w:t>下</w:t>
      </w:r>
      <w:r>
        <w:rPr>
          <w:rFonts w:hint="eastAsia" w:ascii="宋体" w:hAnsi="宋体" w:eastAsia="宋体" w:cs="宋体"/>
          <w:bCs/>
          <w:color w:val="auto"/>
          <w:sz w:val="21"/>
          <w:szCs w:val="21"/>
        </w:rPr>
        <w:t>午</w:t>
      </w:r>
      <w:r>
        <w:rPr>
          <w:rFonts w:hint="eastAsia" w:ascii="宋体" w:hAnsi="宋体" w:eastAsia="宋体" w:cs="宋体"/>
          <w:bCs/>
          <w:color w:val="auto"/>
          <w:sz w:val="21"/>
          <w:szCs w:val="21"/>
          <w:lang w:val="en-US" w:eastAsia="zh-CN"/>
        </w:rPr>
        <w:t>15</w:t>
      </w:r>
      <w:r>
        <w:rPr>
          <w:rFonts w:hint="eastAsia" w:ascii="宋体" w:hAnsi="宋体" w:eastAsia="宋体" w:cs="宋体"/>
          <w:bCs/>
          <w:color w:val="auto"/>
          <w:sz w:val="21"/>
          <w:szCs w:val="21"/>
        </w:rPr>
        <w:t>时</w:t>
      </w:r>
      <w:r>
        <w:rPr>
          <w:rFonts w:hint="eastAsia" w:ascii="宋体" w:hAnsi="宋体" w:eastAsia="宋体" w:cs="宋体"/>
          <w:bCs/>
          <w:color w:val="auto"/>
          <w:sz w:val="21"/>
          <w:szCs w:val="21"/>
          <w:lang w:val="en-US" w:eastAsia="zh-CN"/>
        </w:rPr>
        <w:t>00</w:t>
      </w:r>
      <w:r>
        <w:rPr>
          <w:rFonts w:hint="eastAsia" w:ascii="宋体" w:hAnsi="宋体" w:eastAsia="宋体" w:cs="宋体"/>
          <w:bCs/>
          <w:color w:val="auto"/>
          <w:sz w:val="21"/>
          <w:szCs w:val="21"/>
        </w:rPr>
        <w:t>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3、开标地点：</w:t>
      </w:r>
      <w:r>
        <w:rPr>
          <w:rFonts w:hint="eastAsia" w:ascii="宋体" w:hAnsi="宋体" w:eastAsia="宋体" w:cs="宋体"/>
          <w:color w:val="auto"/>
          <w:sz w:val="21"/>
          <w:szCs w:val="21"/>
        </w:rPr>
        <w:t>东莞市南城街道鸿福西路81号国际商会大厦601室</w:t>
      </w:r>
      <w:r>
        <w:rPr>
          <w:rFonts w:hint="eastAsia" w:ascii="宋体" w:hAnsi="宋体" w:eastAsia="宋体" w:cs="宋体"/>
          <w:bCs/>
          <w:color w:val="auto"/>
          <w:sz w:val="21"/>
          <w:szCs w:val="21"/>
        </w:rPr>
        <w:t>。</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hint="eastAsia" w:ascii="宋体" w:hAnsi="宋体" w:eastAsia="宋体" w:cs="宋体"/>
          <w:bCs/>
          <w:color w:val="auto"/>
          <w:sz w:val="21"/>
          <w:szCs w:val="21"/>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hint="eastAsia" w:ascii="宋体" w:hAnsi="宋体" w:eastAsia="宋体" w:cs="宋体"/>
          <w:bCs/>
          <w:color w:val="auto"/>
          <w:sz w:val="21"/>
          <w:szCs w:val="21"/>
        </w:rPr>
      </w:pPr>
      <w:r>
        <w:rPr>
          <w:rFonts w:hint="eastAsia" w:ascii="宋体" w:hAnsi="宋体" w:eastAsia="宋体" w:cs="宋体"/>
          <w:b/>
          <w:color w:val="auto"/>
          <w:sz w:val="21"/>
          <w:szCs w:val="21"/>
        </w:rPr>
        <w:t>五、采购人及采购代理机构的名称、地址和联系方法：</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采购人联系人：程爱凤</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地址：东莞市松山湖高新技术产业开发区科苑路8号</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联系电话：0769-22860161</w:t>
      </w:r>
      <w:bookmarkStart w:id="217" w:name="_GoBack"/>
      <w:bookmarkEnd w:id="217"/>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采购代理机构名称：</w:t>
      </w:r>
      <w:r>
        <w:rPr>
          <w:rFonts w:hint="eastAsia" w:ascii="宋体" w:hAnsi="宋体" w:eastAsia="宋体" w:cs="宋体"/>
          <w:color w:val="auto"/>
          <w:sz w:val="21"/>
          <w:szCs w:val="21"/>
          <w:lang w:eastAsia="zh-CN"/>
        </w:rPr>
        <w:t>三方诚信招标有限公司</w:t>
      </w:r>
      <w:r>
        <w:rPr>
          <w:rFonts w:hint="eastAsia" w:ascii="宋体" w:hAnsi="宋体" w:eastAsia="宋体" w:cs="宋体"/>
          <w:color w:val="auto"/>
          <w:sz w:val="21"/>
          <w:szCs w:val="21"/>
        </w:rPr>
        <w:t>东莞分公司</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地址：东莞市南城街道鸿福西路81号国际商会大厦</w:t>
      </w:r>
      <w:r>
        <w:rPr>
          <w:rFonts w:hint="eastAsia" w:ascii="宋体" w:hAnsi="宋体" w:eastAsia="宋体" w:cs="宋体"/>
          <w:color w:val="auto"/>
          <w:sz w:val="21"/>
          <w:szCs w:val="21"/>
          <w:lang w:val="en-US" w:eastAsia="zh-CN"/>
        </w:rPr>
        <w:t>706</w:t>
      </w:r>
      <w:r>
        <w:rPr>
          <w:rFonts w:hint="eastAsia" w:ascii="宋体" w:hAnsi="宋体" w:eastAsia="宋体" w:cs="宋体"/>
          <w:color w:val="auto"/>
          <w:sz w:val="21"/>
          <w:szCs w:val="21"/>
        </w:rPr>
        <w:t>室。</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采购代理机构联系人：黄应奎</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联系电话：0769-21682660</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E－ mail：49191135@qq.com</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rPr>
      </w:pPr>
    </w:p>
    <w:p>
      <w:pPr>
        <w:keepNext w:val="0"/>
        <w:keepLines w:val="0"/>
        <w:pageBreakBefore w:val="0"/>
        <w:widowControl/>
        <w:kinsoku/>
        <w:wordWrap/>
        <w:overflowPunct/>
        <w:topLinePunct w:val="0"/>
        <w:autoSpaceDE/>
        <w:autoSpaceDN/>
        <w:bidi w:val="0"/>
        <w:adjustRightInd w:val="0"/>
        <w:snapToGrid w:val="0"/>
        <w:spacing w:line="360" w:lineRule="auto"/>
        <w:ind w:right="788" w:rightChars="358"/>
        <w:jc w:val="right"/>
        <w:textAlignment w:val="auto"/>
        <w:rPr>
          <w:rFonts w:hint="eastAsia" w:ascii="宋体" w:hAnsi="宋体" w:eastAsia="宋体" w:cs="宋体"/>
          <w:color w:val="auto"/>
        </w:rPr>
      </w:pPr>
    </w:p>
    <w:p>
      <w:pPr>
        <w:keepNext w:val="0"/>
        <w:keepLines w:val="0"/>
        <w:pageBreakBefore w:val="0"/>
        <w:widowControl/>
        <w:kinsoku/>
        <w:wordWrap/>
        <w:overflowPunct/>
        <w:topLinePunct w:val="0"/>
        <w:autoSpaceDE/>
        <w:autoSpaceDN/>
        <w:bidi w:val="0"/>
        <w:adjustRightInd w:val="0"/>
        <w:snapToGrid w:val="0"/>
        <w:spacing w:line="360" w:lineRule="auto"/>
        <w:ind w:right="788" w:rightChars="358"/>
        <w:jc w:val="right"/>
        <w:textAlignment w:val="auto"/>
        <w:rPr>
          <w:rFonts w:hint="eastAsia" w:ascii="宋体" w:hAnsi="宋体" w:eastAsia="宋体" w:cs="宋体"/>
          <w:color w:val="auto"/>
        </w:rPr>
      </w:pPr>
    </w:p>
    <w:p>
      <w:pPr>
        <w:keepNext w:val="0"/>
        <w:keepLines w:val="0"/>
        <w:pageBreakBefore w:val="0"/>
        <w:widowControl/>
        <w:kinsoku/>
        <w:wordWrap/>
        <w:overflowPunct/>
        <w:topLinePunct w:val="0"/>
        <w:autoSpaceDE/>
        <w:autoSpaceDN/>
        <w:bidi w:val="0"/>
        <w:adjustRightInd w:val="0"/>
        <w:snapToGrid w:val="0"/>
        <w:spacing w:line="360" w:lineRule="auto"/>
        <w:ind w:right="788" w:rightChars="358"/>
        <w:jc w:val="righ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r>
        <w:rPr>
          <w:rFonts w:hint="eastAsia" w:ascii="宋体" w:hAnsi="宋体" w:eastAsia="宋体" w:cs="宋体"/>
          <w:color w:val="auto"/>
          <w:sz w:val="21"/>
          <w:szCs w:val="21"/>
          <w:lang w:eastAsia="zh-CN"/>
        </w:rPr>
        <w:t>三方诚信招标有限公司</w:t>
      </w:r>
      <w:r>
        <w:rPr>
          <w:rFonts w:hint="eastAsia" w:ascii="宋体" w:hAnsi="宋体" w:eastAsia="宋体" w:cs="宋体"/>
          <w:color w:val="auto"/>
          <w:sz w:val="21"/>
          <w:szCs w:val="21"/>
        </w:rPr>
        <w:t>东莞分公司</w:t>
      </w:r>
    </w:p>
    <w:p>
      <w:pPr>
        <w:keepNext w:val="0"/>
        <w:keepLines w:val="0"/>
        <w:pageBreakBefore w:val="0"/>
        <w:widowControl/>
        <w:kinsoku/>
        <w:wordWrap/>
        <w:overflowPunct/>
        <w:topLinePunct w:val="0"/>
        <w:autoSpaceDE/>
        <w:autoSpaceDN/>
        <w:bidi w:val="0"/>
        <w:adjustRightInd w:val="0"/>
        <w:snapToGrid w:val="0"/>
        <w:spacing w:line="360" w:lineRule="auto"/>
        <w:ind w:left="6481" w:leftChars="2755" w:hanging="420" w:hanging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二〇</w:t>
      </w:r>
      <w:r>
        <w:rPr>
          <w:rFonts w:hint="eastAsia" w:ascii="宋体" w:hAnsi="宋体" w:eastAsia="宋体" w:cs="宋体"/>
          <w:color w:val="auto"/>
          <w:sz w:val="21"/>
          <w:szCs w:val="21"/>
          <w:lang w:val="en-US" w:eastAsia="zh-CN"/>
        </w:rPr>
        <w:t>二〇</w:t>
      </w:r>
      <w:r>
        <w:rPr>
          <w:rFonts w:hint="eastAsia" w:ascii="宋体" w:hAnsi="宋体" w:eastAsia="宋体" w:cs="宋体"/>
          <w:color w:val="auto"/>
          <w:sz w:val="21"/>
          <w:szCs w:val="21"/>
        </w:rPr>
        <w:t>年</w:t>
      </w:r>
      <w:r>
        <w:rPr>
          <w:rFonts w:hint="eastAsia" w:ascii="宋体" w:hAnsi="宋体" w:eastAsia="宋体" w:cs="宋体"/>
          <w:color w:val="auto"/>
          <w:sz w:val="21"/>
          <w:szCs w:val="21"/>
          <w:lang w:eastAsia="zh-CN"/>
        </w:rPr>
        <w:t>八</w:t>
      </w:r>
      <w:r>
        <w:rPr>
          <w:rFonts w:hint="eastAsia" w:ascii="宋体" w:hAnsi="宋体" w:eastAsia="宋体" w:cs="宋体"/>
          <w:color w:val="auto"/>
          <w:sz w:val="21"/>
          <w:szCs w:val="21"/>
        </w:rPr>
        <w:t>月</w:t>
      </w:r>
    </w:p>
    <w:p>
      <w:pPr>
        <w:ind w:left="6481" w:leftChars="2755" w:hanging="420" w:hangingChars="200"/>
        <w:rPr>
          <w:rFonts w:hint="eastAsia" w:ascii="宋体" w:hAnsi="宋体" w:eastAsia="宋体" w:cs="宋体"/>
          <w:color w:val="auto"/>
        </w:rPr>
      </w:pPr>
      <w:r>
        <w:rPr>
          <w:rFonts w:hint="eastAsia" w:ascii="宋体" w:hAnsi="宋体" w:eastAsia="宋体" w:cs="宋体"/>
          <w:color w:val="auto"/>
          <w:sz w:val="21"/>
          <w:szCs w:val="21"/>
        </w:rPr>
        <w:br w:type="page"/>
      </w:r>
    </w:p>
    <w:p>
      <w:pPr>
        <w:pStyle w:val="3"/>
        <w:spacing w:before="0" w:after="0" w:line="240" w:lineRule="auto"/>
        <w:rPr>
          <w:rFonts w:hint="eastAsia" w:ascii="宋体" w:hAnsi="宋体" w:eastAsia="宋体" w:cs="宋体"/>
          <w:color w:val="auto"/>
          <w:sz w:val="28"/>
          <w:szCs w:val="28"/>
        </w:rPr>
      </w:pPr>
      <w:bookmarkStart w:id="1" w:name="_Toc1854"/>
      <w:r>
        <w:rPr>
          <w:rFonts w:hint="eastAsia" w:ascii="宋体" w:hAnsi="宋体" w:eastAsia="宋体" w:cs="宋体"/>
          <w:color w:val="auto"/>
          <w:sz w:val="28"/>
          <w:szCs w:val="28"/>
        </w:rPr>
        <w:t>第二部分 相关资料表格</w:t>
      </w:r>
      <w:bookmarkEnd w:id="1"/>
    </w:p>
    <w:p>
      <w:pPr>
        <w:pStyle w:val="4"/>
        <w:spacing w:before="0" w:after="0" w:line="240" w:lineRule="auto"/>
        <w:jc w:val="center"/>
        <w:rPr>
          <w:rFonts w:hint="eastAsia" w:ascii="宋体" w:hAnsi="宋体" w:eastAsia="宋体" w:cs="宋体"/>
          <w:color w:val="auto"/>
          <w:sz w:val="24"/>
          <w:szCs w:val="24"/>
        </w:rPr>
      </w:pPr>
      <w:bookmarkStart w:id="2" w:name="_Toc1210"/>
      <w:r>
        <w:rPr>
          <w:rFonts w:hint="eastAsia" w:ascii="宋体" w:hAnsi="宋体" w:eastAsia="宋体" w:cs="宋体"/>
          <w:color w:val="auto"/>
          <w:sz w:val="24"/>
          <w:szCs w:val="24"/>
        </w:rPr>
        <w:t>附表一：投标资料表</w:t>
      </w:r>
      <w:bookmarkEnd w:id="2"/>
    </w:p>
    <w:tbl>
      <w:tblPr>
        <w:tblStyle w:val="16"/>
        <w:tblW w:w="8410" w:type="dxa"/>
        <w:tblInd w:w="-24" w:type="dxa"/>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
      <w:tblGrid>
        <w:gridCol w:w="878"/>
        <w:gridCol w:w="2608"/>
        <w:gridCol w:w="1158"/>
        <w:gridCol w:w="3766"/>
      </w:tblGrid>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0" w:hRule="atLeast"/>
        </w:trPr>
        <w:tc>
          <w:tcPr>
            <w:tcW w:w="878" w:type="dxa"/>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7532" w:type="dxa"/>
            <w:gridSpan w:val="3"/>
            <w:vAlign w:val="center"/>
          </w:tcPr>
          <w:p>
            <w:pPr>
              <w:spacing w:after="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内      容</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551" w:hRule="atLeast"/>
        </w:trPr>
        <w:tc>
          <w:tcPr>
            <w:tcW w:w="8410" w:type="dxa"/>
            <w:gridSpan w:val="4"/>
            <w:vAlign w:val="center"/>
          </w:tcPr>
          <w:p>
            <w:pPr>
              <w:spacing w:after="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一、说明</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7532" w:type="dxa"/>
            <w:gridSpan w:val="3"/>
            <w:vAlign w:val="center"/>
          </w:tcPr>
          <w:p>
            <w:pPr>
              <w:spacing w:after="0"/>
              <w:rPr>
                <w:rFonts w:hint="eastAsia" w:ascii="宋体" w:hAnsi="宋体" w:eastAsia="宋体" w:cs="宋体"/>
                <w:b/>
                <w:bCs/>
                <w:color w:val="auto"/>
                <w:sz w:val="21"/>
                <w:szCs w:val="21"/>
              </w:rPr>
            </w:pPr>
            <w:r>
              <w:rPr>
                <w:rFonts w:hint="eastAsia" w:ascii="宋体" w:hAnsi="宋体" w:eastAsia="宋体" w:cs="宋体"/>
                <w:b/>
                <w:bCs/>
                <w:color w:val="auto"/>
                <w:sz w:val="21"/>
                <w:szCs w:val="21"/>
              </w:rPr>
              <w:t>项目最高限价（单位：元）</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7532" w:type="dxa"/>
            <w:gridSpan w:val="3"/>
            <w:vAlign w:val="center"/>
          </w:tcPr>
          <w:p>
            <w:pPr>
              <w:spacing w:after="0"/>
              <w:rPr>
                <w:rFonts w:hint="eastAsia" w:ascii="宋体" w:hAnsi="宋体" w:eastAsia="宋体" w:cs="宋体"/>
                <w:b/>
                <w:bCs/>
                <w:color w:val="auto"/>
                <w:sz w:val="21"/>
                <w:szCs w:val="21"/>
              </w:rPr>
            </w:pPr>
            <w:r>
              <w:rPr>
                <w:rFonts w:hint="eastAsia" w:ascii="宋体" w:hAnsi="宋体" w:eastAsia="宋体" w:cs="宋体"/>
                <w:bCs/>
                <w:color w:val="auto"/>
                <w:sz w:val="21"/>
                <w:szCs w:val="21"/>
              </w:rPr>
              <w:t>与项目预算一致。</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7532" w:type="dxa"/>
            <w:gridSpan w:val="3"/>
            <w:vAlign w:val="center"/>
          </w:tcPr>
          <w:p>
            <w:pPr>
              <w:spacing w:after="0"/>
              <w:rPr>
                <w:rFonts w:hint="eastAsia" w:ascii="宋体" w:hAnsi="宋体" w:eastAsia="宋体" w:cs="宋体"/>
                <w:b/>
                <w:bCs/>
                <w:color w:val="auto"/>
                <w:sz w:val="21"/>
                <w:szCs w:val="21"/>
              </w:rPr>
            </w:pPr>
            <w:r>
              <w:rPr>
                <w:rFonts w:hint="eastAsia" w:ascii="宋体" w:hAnsi="宋体" w:eastAsia="宋体" w:cs="宋体"/>
                <w:b/>
                <w:bCs/>
                <w:color w:val="auto"/>
                <w:sz w:val="21"/>
                <w:szCs w:val="21"/>
              </w:rPr>
              <w:t>资金来源</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7532" w:type="dxa"/>
            <w:gridSpan w:val="3"/>
            <w:vAlign w:val="center"/>
          </w:tcPr>
          <w:p>
            <w:pPr>
              <w:spacing w:after="0"/>
              <w:rPr>
                <w:rFonts w:hint="eastAsia" w:ascii="宋体" w:hAnsi="宋体" w:eastAsia="宋体" w:cs="宋体"/>
                <w:b/>
                <w:bCs/>
                <w:color w:val="auto"/>
                <w:sz w:val="21"/>
                <w:szCs w:val="21"/>
              </w:rPr>
            </w:pPr>
            <w:r>
              <w:rPr>
                <w:rFonts w:hint="eastAsia" w:ascii="宋体" w:hAnsi="宋体" w:eastAsia="宋体" w:cs="宋体"/>
                <w:color w:val="auto"/>
                <w:sz w:val="21"/>
                <w:szCs w:val="21"/>
                <w:lang w:eastAsia="zh-CN"/>
              </w:rPr>
              <w:t>财政性</w:t>
            </w:r>
            <w:r>
              <w:rPr>
                <w:rFonts w:hint="eastAsia" w:ascii="宋体" w:hAnsi="宋体" w:eastAsia="宋体" w:cs="宋体"/>
                <w:color w:val="auto"/>
                <w:sz w:val="21"/>
                <w:szCs w:val="21"/>
              </w:rPr>
              <w:t>资金。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7532" w:type="dxa"/>
            <w:gridSpan w:val="3"/>
            <w:vAlign w:val="center"/>
          </w:tcPr>
          <w:p>
            <w:pPr>
              <w:spacing w:after="0"/>
              <w:rPr>
                <w:rFonts w:hint="eastAsia" w:ascii="宋体" w:hAnsi="宋体" w:eastAsia="宋体" w:cs="宋体"/>
                <w:b/>
                <w:color w:val="auto"/>
                <w:sz w:val="21"/>
                <w:szCs w:val="21"/>
              </w:rPr>
            </w:pPr>
            <w:r>
              <w:rPr>
                <w:rFonts w:hint="eastAsia" w:ascii="宋体" w:hAnsi="宋体" w:eastAsia="宋体" w:cs="宋体"/>
                <w:b/>
                <w:color w:val="auto"/>
                <w:sz w:val="21"/>
                <w:szCs w:val="21"/>
              </w:rPr>
              <w:t>踏勘现场</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7532" w:type="dxa"/>
            <w:gridSpan w:val="3"/>
            <w:vAlign w:val="center"/>
          </w:tcPr>
          <w:p>
            <w:pPr>
              <w:spacing w:after="0"/>
              <w:rPr>
                <w:rFonts w:hint="eastAsia" w:ascii="宋体" w:hAnsi="宋体" w:eastAsia="宋体" w:cs="宋体"/>
                <w:b/>
                <w:color w:val="auto"/>
                <w:sz w:val="21"/>
                <w:szCs w:val="21"/>
              </w:rPr>
            </w:pPr>
            <w:r>
              <w:rPr>
                <w:rFonts w:hint="eastAsia" w:ascii="宋体" w:hAnsi="宋体" w:eastAsia="宋体" w:cs="宋体"/>
                <w:bCs/>
                <w:color w:val="auto"/>
                <w:sz w:val="21"/>
                <w:szCs w:val="21"/>
              </w:rPr>
              <w:t>本项目不组织踏勘现场。</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restart"/>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4</w:t>
            </w:r>
          </w:p>
        </w:tc>
        <w:tc>
          <w:tcPr>
            <w:tcW w:w="7532" w:type="dxa"/>
            <w:gridSpan w:val="3"/>
            <w:vAlign w:val="center"/>
          </w:tcPr>
          <w:p>
            <w:pPr>
              <w:spacing w:after="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招标信息发布网站</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3766" w:type="dxa"/>
            <w:gridSpan w:val="2"/>
            <w:vAlign w:val="center"/>
          </w:tcPr>
          <w:p>
            <w:pPr>
              <w:spacing w:after="0"/>
              <w:jc w:val="center"/>
              <w:rPr>
                <w:rFonts w:hint="eastAsia" w:ascii="宋体" w:hAnsi="宋体" w:eastAsia="宋体" w:cs="宋体"/>
                <w:b/>
                <w:color w:val="auto"/>
                <w:sz w:val="21"/>
                <w:szCs w:val="21"/>
              </w:rPr>
            </w:pPr>
            <w:r>
              <w:rPr>
                <w:rFonts w:hint="eastAsia" w:ascii="宋体" w:hAnsi="宋体" w:eastAsia="宋体" w:cs="宋体"/>
                <w:b/>
                <w:color w:val="auto"/>
                <w:sz w:val="21"/>
                <w:szCs w:val="21"/>
                <w:lang w:eastAsia="zh-CN"/>
              </w:rPr>
              <w:t>三方诚信招标网</w:t>
            </w:r>
          </w:p>
        </w:tc>
        <w:tc>
          <w:tcPr>
            <w:tcW w:w="3766" w:type="dxa"/>
            <w:vAlign w:val="center"/>
          </w:tcPr>
          <w:p>
            <w:pPr>
              <w:spacing w:after="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中国政府采购网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3766" w:type="dxa"/>
            <w:gridSpan w:val="2"/>
            <w:vAlign w:val="center"/>
          </w:tcPr>
          <w:p>
            <w:pPr>
              <w:spacing w:after="0"/>
              <w:jc w:val="center"/>
              <w:rPr>
                <w:rFonts w:hint="eastAsia" w:ascii="宋体" w:hAnsi="宋体" w:eastAsia="宋体" w:cs="宋体"/>
                <w:b/>
                <w:color w:val="auto"/>
                <w:sz w:val="21"/>
                <w:szCs w:val="21"/>
              </w:rPr>
            </w:pPr>
            <w:r>
              <w:rPr>
                <w:rFonts w:hint="eastAsia" w:ascii="宋体" w:hAnsi="宋体" w:eastAsia="宋体" w:cs="宋体"/>
                <w:b w:val="0"/>
                <w:bCs/>
                <w:color w:val="auto"/>
                <w:sz w:val="21"/>
                <w:szCs w:val="21"/>
              </w:rPr>
              <w:t>http://www.sfcx.cn/</w:t>
            </w:r>
          </w:p>
        </w:tc>
        <w:tc>
          <w:tcPr>
            <w:tcW w:w="3766" w:type="dxa"/>
            <w:vAlign w:val="center"/>
          </w:tcPr>
          <w:p>
            <w:pPr>
              <w:spacing w:after="0"/>
              <w:jc w:val="center"/>
              <w:rPr>
                <w:rFonts w:hint="eastAsia" w:ascii="宋体" w:hAnsi="宋体" w:eastAsia="宋体" w:cs="宋体"/>
                <w:b/>
                <w:color w:val="auto"/>
                <w:sz w:val="21"/>
                <w:szCs w:val="21"/>
              </w:rPr>
            </w:pPr>
            <w:r>
              <w:rPr>
                <w:rFonts w:hint="eastAsia" w:ascii="宋体" w:hAnsi="宋体" w:eastAsia="宋体" w:cs="宋体"/>
                <w:color w:val="auto"/>
                <w:sz w:val="21"/>
                <w:szCs w:val="21"/>
              </w:rPr>
              <w:t>http://www.ccgp.gov.cn/</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45" w:hRule="atLeast"/>
        </w:trPr>
        <w:tc>
          <w:tcPr>
            <w:tcW w:w="8410" w:type="dxa"/>
            <w:gridSpan w:val="4"/>
            <w:vAlign w:val="center"/>
          </w:tcPr>
          <w:p>
            <w:pPr>
              <w:spacing w:after="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二、投标文件的编制</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5</w:t>
            </w:r>
          </w:p>
        </w:tc>
        <w:tc>
          <w:tcPr>
            <w:tcW w:w="7532" w:type="dxa"/>
            <w:gridSpan w:val="3"/>
            <w:vAlign w:val="center"/>
          </w:tcPr>
          <w:p>
            <w:pPr>
              <w:spacing w:after="0"/>
              <w:rPr>
                <w:rFonts w:hint="eastAsia" w:ascii="宋体" w:hAnsi="宋体" w:eastAsia="宋体" w:cs="宋体"/>
                <w:b/>
                <w:color w:val="auto"/>
                <w:sz w:val="21"/>
                <w:szCs w:val="21"/>
              </w:rPr>
            </w:pPr>
            <w:r>
              <w:rPr>
                <w:rFonts w:hint="eastAsia" w:ascii="宋体" w:hAnsi="宋体" w:eastAsia="宋体" w:cs="宋体"/>
                <w:b/>
                <w:color w:val="auto"/>
                <w:sz w:val="21"/>
                <w:szCs w:val="21"/>
              </w:rPr>
              <w:t>投标语言</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7532" w:type="dxa"/>
            <w:gridSpan w:val="3"/>
            <w:vAlign w:val="center"/>
          </w:tcPr>
          <w:p>
            <w:pPr>
              <w:spacing w:after="0"/>
              <w:rPr>
                <w:rFonts w:hint="eastAsia" w:ascii="宋体" w:hAnsi="宋体" w:eastAsia="宋体" w:cs="宋体"/>
                <w:b/>
                <w:color w:val="auto"/>
                <w:sz w:val="21"/>
                <w:szCs w:val="21"/>
              </w:rPr>
            </w:pPr>
            <w:r>
              <w:rPr>
                <w:rFonts w:hint="eastAsia" w:ascii="宋体" w:hAnsi="宋体" w:eastAsia="宋体" w:cs="宋体"/>
                <w:color w:val="auto"/>
                <w:sz w:val="21"/>
                <w:szCs w:val="21"/>
              </w:rPr>
              <w:t>中文。</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6</w:t>
            </w:r>
          </w:p>
        </w:tc>
        <w:tc>
          <w:tcPr>
            <w:tcW w:w="7532" w:type="dxa"/>
            <w:gridSpan w:val="3"/>
            <w:vAlign w:val="center"/>
          </w:tcPr>
          <w:p>
            <w:pPr>
              <w:spacing w:after="0"/>
              <w:jc w:val="both"/>
              <w:rPr>
                <w:rFonts w:hint="eastAsia" w:ascii="宋体" w:hAnsi="宋体" w:eastAsia="宋体" w:cs="宋体"/>
                <w:b/>
                <w:color w:val="auto"/>
                <w:sz w:val="21"/>
                <w:szCs w:val="21"/>
              </w:rPr>
            </w:pPr>
            <w:r>
              <w:rPr>
                <w:rFonts w:hint="eastAsia" w:ascii="宋体" w:hAnsi="宋体" w:eastAsia="宋体" w:cs="宋体"/>
                <w:b/>
                <w:color w:val="auto"/>
                <w:sz w:val="21"/>
                <w:szCs w:val="21"/>
              </w:rPr>
              <w:t>投标报价</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7532" w:type="dxa"/>
            <w:gridSpan w:val="3"/>
            <w:vAlign w:val="center"/>
          </w:tcPr>
          <w:p>
            <w:pPr>
              <w:spacing w:after="0"/>
              <w:jc w:val="both"/>
              <w:rPr>
                <w:rFonts w:hint="eastAsia" w:ascii="宋体" w:hAnsi="宋体" w:eastAsia="宋体" w:cs="宋体"/>
                <w:b/>
                <w:color w:val="auto"/>
                <w:sz w:val="21"/>
                <w:szCs w:val="21"/>
              </w:rPr>
            </w:pPr>
            <w:r>
              <w:rPr>
                <w:rFonts w:hint="eastAsia" w:ascii="宋体" w:hAnsi="宋体" w:eastAsia="宋体" w:cs="宋体"/>
                <w:color w:val="auto"/>
                <w:sz w:val="21"/>
                <w:szCs w:val="21"/>
              </w:rPr>
              <w:t>详见投标人须知。</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7</w:t>
            </w:r>
          </w:p>
        </w:tc>
        <w:tc>
          <w:tcPr>
            <w:tcW w:w="7532" w:type="dxa"/>
            <w:gridSpan w:val="3"/>
            <w:vAlign w:val="center"/>
          </w:tcPr>
          <w:p>
            <w:pPr>
              <w:spacing w:after="0"/>
              <w:jc w:val="both"/>
              <w:rPr>
                <w:rFonts w:hint="eastAsia" w:ascii="宋体" w:hAnsi="宋体" w:eastAsia="宋体" w:cs="宋体"/>
                <w:b/>
                <w:color w:val="auto"/>
                <w:sz w:val="21"/>
                <w:szCs w:val="21"/>
              </w:rPr>
            </w:pPr>
            <w:r>
              <w:rPr>
                <w:rFonts w:hint="eastAsia" w:ascii="宋体" w:hAnsi="宋体" w:eastAsia="宋体" w:cs="宋体"/>
                <w:b/>
                <w:color w:val="auto"/>
                <w:sz w:val="21"/>
                <w:szCs w:val="21"/>
              </w:rPr>
              <w:t>投标样品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7532" w:type="dxa"/>
            <w:gridSpan w:val="3"/>
            <w:vAlign w:val="center"/>
          </w:tcPr>
          <w:p>
            <w:pPr>
              <w:spacing w:after="0"/>
              <w:jc w:val="both"/>
              <w:rPr>
                <w:rFonts w:hint="eastAsia" w:ascii="宋体" w:hAnsi="宋体" w:eastAsia="宋体" w:cs="宋体"/>
                <w:b/>
                <w:color w:val="auto"/>
                <w:sz w:val="21"/>
                <w:szCs w:val="21"/>
              </w:rPr>
            </w:pPr>
            <w:r>
              <w:rPr>
                <w:rFonts w:hint="eastAsia" w:ascii="宋体" w:hAnsi="宋体" w:eastAsia="宋体" w:cs="宋体"/>
                <w:color w:val="auto"/>
                <w:sz w:val="21"/>
                <w:szCs w:val="21"/>
              </w:rPr>
              <w:t>详见用户需求。</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8</w:t>
            </w:r>
          </w:p>
        </w:tc>
        <w:tc>
          <w:tcPr>
            <w:tcW w:w="7532" w:type="dxa"/>
            <w:gridSpan w:val="3"/>
            <w:vAlign w:val="center"/>
          </w:tcPr>
          <w:p>
            <w:pPr>
              <w:spacing w:after="0"/>
              <w:jc w:val="both"/>
              <w:rPr>
                <w:rFonts w:hint="eastAsia" w:ascii="宋体" w:hAnsi="宋体" w:eastAsia="宋体" w:cs="宋体"/>
                <w:color w:val="auto"/>
                <w:sz w:val="21"/>
                <w:szCs w:val="21"/>
              </w:rPr>
            </w:pPr>
            <w:r>
              <w:rPr>
                <w:rFonts w:hint="eastAsia" w:ascii="宋体" w:hAnsi="宋体" w:eastAsia="宋体" w:cs="宋体"/>
                <w:b/>
                <w:color w:val="auto"/>
                <w:sz w:val="21"/>
                <w:szCs w:val="21"/>
              </w:rPr>
              <w:t>核心产品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both"/>
              <w:rPr>
                <w:rFonts w:hint="eastAsia" w:ascii="宋体" w:hAnsi="宋体" w:eastAsia="宋体" w:cs="宋体"/>
                <w:color w:val="auto"/>
                <w:sz w:val="21"/>
                <w:szCs w:val="21"/>
              </w:rPr>
            </w:pPr>
          </w:p>
        </w:tc>
        <w:tc>
          <w:tcPr>
            <w:tcW w:w="7532" w:type="dxa"/>
            <w:gridSpan w:val="3"/>
            <w:vAlign w:val="center"/>
          </w:tcPr>
          <w:p>
            <w:pPr>
              <w:spacing w:after="0"/>
              <w:jc w:val="both"/>
              <w:rPr>
                <w:rFonts w:hint="eastAsia" w:ascii="宋体" w:hAnsi="宋体" w:eastAsia="宋体" w:cs="宋体"/>
                <w:color w:val="auto"/>
                <w:sz w:val="21"/>
                <w:szCs w:val="21"/>
              </w:rPr>
            </w:pPr>
            <w:r>
              <w:rPr>
                <w:rFonts w:hint="eastAsia" w:ascii="宋体" w:hAnsi="宋体" w:eastAsia="宋体" w:cs="宋体"/>
                <w:color w:val="auto"/>
                <w:sz w:val="21"/>
                <w:szCs w:val="21"/>
              </w:rPr>
              <w:t>“●”为核心产品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Merge w:val="restart"/>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9</w:t>
            </w:r>
          </w:p>
        </w:tc>
        <w:tc>
          <w:tcPr>
            <w:tcW w:w="7532" w:type="dxa"/>
            <w:gridSpan w:val="3"/>
            <w:vAlign w:val="center"/>
          </w:tcPr>
          <w:p>
            <w:pPr>
              <w:spacing w:after="0"/>
              <w:jc w:val="both"/>
              <w:rPr>
                <w:rFonts w:hint="eastAsia" w:ascii="宋体" w:hAnsi="宋体" w:eastAsia="宋体" w:cs="宋体"/>
                <w:b/>
                <w:color w:val="auto"/>
                <w:sz w:val="21"/>
                <w:szCs w:val="21"/>
              </w:rPr>
            </w:pPr>
            <w:r>
              <w:rPr>
                <w:rFonts w:hint="eastAsia" w:ascii="宋体" w:hAnsi="宋体" w:eastAsia="宋体" w:cs="宋体"/>
                <w:color w:val="auto"/>
                <w:sz w:val="21"/>
                <w:szCs w:val="21"/>
              </w:rPr>
              <w:t>★</w:t>
            </w:r>
            <w:r>
              <w:rPr>
                <w:rFonts w:hint="eastAsia" w:ascii="宋体" w:hAnsi="宋体" w:eastAsia="宋体" w:cs="宋体"/>
                <w:b/>
                <w:color w:val="auto"/>
                <w:sz w:val="21"/>
                <w:szCs w:val="21"/>
              </w:rPr>
              <w:t>投标保证金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7532" w:type="dxa"/>
            <w:gridSpan w:val="3"/>
            <w:vAlign w:val="center"/>
          </w:tcPr>
          <w:p>
            <w:pPr>
              <w:spacing w:after="0"/>
              <w:jc w:val="both"/>
              <w:rPr>
                <w:rFonts w:hint="eastAsia" w:ascii="宋体" w:hAnsi="宋体" w:eastAsia="宋体" w:cs="宋体"/>
                <w:color w:val="auto"/>
                <w:sz w:val="21"/>
                <w:szCs w:val="21"/>
              </w:rPr>
            </w:pPr>
            <w:r>
              <w:rPr>
                <w:rFonts w:hint="eastAsia" w:ascii="宋体" w:hAnsi="宋体" w:eastAsia="宋体" w:cs="宋体"/>
                <w:color w:val="auto"/>
                <w:sz w:val="21"/>
                <w:szCs w:val="21"/>
              </w:rPr>
              <w:t>（1）投标保证金金额：人民币</w:t>
            </w:r>
            <w:r>
              <w:rPr>
                <w:rFonts w:hint="eastAsia" w:ascii="宋体" w:hAnsi="宋体" w:eastAsia="宋体" w:cs="宋体"/>
                <w:b/>
                <w:color w:val="auto"/>
                <w:sz w:val="21"/>
                <w:szCs w:val="21"/>
                <w:lang w:val="en-US" w:eastAsia="zh-CN"/>
              </w:rPr>
              <w:t>捌仟</w:t>
            </w:r>
            <w:r>
              <w:rPr>
                <w:rFonts w:hint="eastAsia" w:ascii="宋体" w:hAnsi="宋体" w:eastAsia="宋体" w:cs="宋体"/>
                <w:color w:val="auto"/>
                <w:sz w:val="21"/>
                <w:szCs w:val="21"/>
              </w:rPr>
              <w:t>元整（￥</w:t>
            </w:r>
            <w:r>
              <w:rPr>
                <w:rFonts w:hint="eastAsia" w:ascii="宋体" w:hAnsi="宋体" w:eastAsia="宋体" w:cs="宋体"/>
                <w:b/>
                <w:color w:val="auto"/>
                <w:sz w:val="21"/>
                <w:szCs w:val="21"/>
                <w:lang w:val="en-US" w:eastAsia="zh-CN"/>
              </w:rPr>
              <w:t>8,000.00</w:t>
            </w:r>
            <w:r>
              <w:rPr>
                <w:rFonts w:hint="eastAsia" w:ascii="宋体" w:hAnsi="宋体" w:eastAsia="宋体" w:cs="宋体"/>
                <w:color w:val="auto"/>
                <w:sz w:val="21"/>
                <w:szCs w:val="21"/>
              </w:rPr>
              <w:t>）。</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7532" w:type="dxa"/>
            <w:gridSpan w:val="3"/>
            <w:vAlign w:val="center"/>
          </w:tcPr>
          <w:p>
            <w:pPr>
              <w:spacing w:after="0"/>
              <w:jc w:val="both"/>
              <w:rPr>
                <w:rFonts w:hint="eastAsia" w:ascii="宋体" w:hAnsi="宋体" w:eastAsia="宋体" w:cs="宋体"/>
                <w:b/>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val="zh-CN"/>
              </w:rPr>
              <w:t>投标保证金须严格按招标文件“第四部分投标人须知”要求提交。</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600"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7532" w:type="dxa"/>
            <w:gridSpan w:val="3"/>
            <w:vAlign w:val="center"/>
          </w:tcPr>
          <w:p>
            <w:pPr>
              <w:spacing w:after="0"/>
              <w:jc w:val="both"/>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（3）保证金递交账户：</w:t>
            </w:r>
          </w:p>
          <w:p>
            <w:pPr>
              <w:spacing w:after="0"/>
              <w:jc w:val="both"/>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收款人：三方诚信招标有限公司东莞分公司</w:t>
            </w:r>
          </w:p>
          <w:p>
            <w:pPr>
              <w:spacing w:after="0"/>
              <w:jc w:val="both"/>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开户行：广发银行股份有限公司东莞南城支行</w:t>
            </w:r>
          </w:p>
          <w:p>
            <w:pPr>
              <w:spacing w:after="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帐  号：6232590699050013687</w:t>
            </w:r>
          </w:p>
          <w:p>
            <w:pPr>
              <w:spacing w:after="0"/>
              <w:jc w:val="both"/>
              <w:rPr>
                <w:rFonts w:hint="eastAsia" w:ascii="宋体" w:hAnsi="宋体" w:eastAsia="宋体" w:cs="宋体"/>
                <w:color w:val="auto"/>
                <w:sz w:val="21"/>
                <w:szCs w:val="21"/>
              </w:rPr>
            </w:pPr>
            <w:r>
              <w:rPr>
                <w:rFonts w:hint="eastAsia" w:ascii="宋体" w:hAnsi="宋体" w:eastAsia="宋体" w:cs="宋体"/>
                <w:color w:val="auto"/>
                <w:sz w:val="21"/>
                <w:szCs w:val="21"/>
                <w:lang w:val="zh-CN"/>
              </w:rPr>
              <w:t>（各投标人在转帐或电汇时须在用途栏上写明采购项目编号）。</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20" w:hRule="atLeast"/>
        </w:trPr>
        <w:tc>
          <w:tcPr>
            <w:tcW w:w="878" w:type="dxa"/>
            <w:vMerge w:val="restart"/>
            <w:vAlign w:val="center"/>
          </w:tcPr>
          <w:p>
            <w:pPr>
              <w:spacing w:after="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w:t>
            </w:r>
          </w:p>
        </w:tc>
        <w:tc>
          <w:tcPr>
            <w:tcW w:w="7532" w:type="dxa"/>
            <w:gridSpan w:val="3"/>
            <w:vAlign w:val="center"/>
          </w:tcPr>
          <w:p>
            <w:pPr>
              <w:spacing w:after="0"/>
              <w:jc w:val="both"/>
              <w:rPr>
                <w:rFonts w:hint="eastAsia" w:ascii="宋体" w:hAnsi="宋体" w:eastAsia="宋体" w:cs="宋体"/>
                <w:b/>
                <w:bCs/>
                <w:color w:val="auto"/>
                <w:sz w:val="21"/>
                <w:szCs w:val="21"/>
                <w:lang w:val="zh-CN"/>
              </w:rPr>
            </w:pPr>
            <w:r>
              <w:rPr>
                <w:rFonts w:hint="eastAsia" w:ascii="宋体" w:hAnsi="宋体" w:eastAsia="宋体" w:cs="宋体"/>
                <w:b/>
                <w:bCs/>
                <w:color w:val="auto"/>
                <w:sz w:val="21"/>
                <w:szCs w:val="21"/>
                <w:lang w:val="zh-CN" w:eastAsia="zh-CN"/>
              </w:rPr>
              <w:t>投标</w:t>
            </w:r>
            <w:r>
              <w:rPr>
                <w:rFonts w:hint="eastAsia" w:ascii="宋体" w:hAnsi="宋体" w:eastAsia="宋体" w:cs="宋体"/>
                <w:b/>
                <w:bCs/>
                <w:color w:val="auto"/>
                <w:sz w:val="21"/>
                <w:szCs w:val="21"/>
                <w:lang w:val="zh-CN"/>
              </w:rPr>
              <w:t>保证金退还</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535"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7532" w:type="dxa"/>
            <w:gridSpan w:val="3"/>
            <w:vAlign w:val="center"/>
          </w:tcPr>
          <w:p>
            <w:pPr>
              <w:spacing w:after="0"/>
              <w:jc w:val="both"/>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val="zh-CN"/>
              </w:rPr>
              <w:t>）未中标的投标人的保证金应当在中标通知书发出后5个工作日内退还，中标投标人的保证金应当在采购合同签订后5个工作日内退还。</w:t>
            </w:r>
          </w:p>
          <w:p>
            <w:pPr>
              <w:spacing w:after="0"/>
              <w:jc w:val="both"/>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val="zh-CN"/>
              </w:rPr>
              <w:t>）为方便退还未中标的投保人的保证金，投标人应制作《投标保证金汇入情况说明》随开标文件一并递交。</w:t>
            </w:r>
          </w:p>
          <w:p>
            <w:pPr>
              <w:spacing w:after="0"/>
              <w:jc w:val="both"/>
              <w:rPr>
                <w:rFonts w:hint="eastAsia" w:ascii="宋体" w:hAnsi="宋体" w:eastAsia="宋体" w:cs="宋体"/>
                <w:color w:val="auto"/>
                <w:lang w:val="en-US" w:eastAsia="zh-CN"/>
              </w:rPr>
            </w:pPr>
            <w:r>
              <w:rPr>
                <w:rFonts w:hint="eastAsia" w:ascii="宋体" w:hAnsi="宋体" w:eastAsia="宋体" w:cs="宋体"/>
                <w:color w:val="auto"/>
                <w:sz w:val="21"/>
                <w:szCs w:val="21"/>
                <w:lang w:val="zh-CN"/>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lang w:val="zh-CN"/>
              </w:rPr>
              <w:t>）投标保证金退还联系电话：</w:t>
            </w:r>
            <w:r>
              <w:rPr>
                <w:rFonts w:hint="eastAsia" w:ascii="宋体" w:hAnsi="宋体" w:eastAsia="宋体" w:cs="宋体"/>
                <w:color w:val="auto"/>
                <w:sz w:val="21"/>
                <w:szCs w:val="21"/>
                <w:lang w:val="en-US" w:eastAsia="zh-CN"/>
              </w:rPr>
              <w:t>0769-21862660-801。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11</w:t>
            </w:r>
          </w:p>
        </w:tc>
        <w:tc>
          <w:tcPr>
            <w:tcW w:w="7532" w:type="dxa"/>
            <w:gridSpan w:val="3"/>
            <w:vAlign w:val="center"/>
          </w:tcPr>
          <w:p>
            <w:pPr>
              <w:spacing w:after="0"/>
              <w:jc w:val="both"/>
              <w:rPr>
                <w:rFonts w:hint="eastAsia" w:ascii="宋体" w:hAnsi="宋体" w:eastAsia="宋体" w:cs="宋体"/>
                <w:b/>
                <w:color w:val="auto"/>
                <w:sz w:val="21"/>
                <w:szCs w:val="21"/>
              </w:rPr>
            </w:pPr>
            <w:r>
              <w:rPr>
                <w:rFonts w:hint="eastAsia" w:ascii="宋体" w:hAnsi="宋体" w:eastAsia="宋体" w:cs="宋体"/>
                <w:color w:val="auto"/>
                <w:sz w:val="21"/>
                <w:szCs w:val="21"/>
              </w:rPr>
              <w:t>★</w:t>
            </w:r>
            <w:r>
              <w:rPr>
                <w:rFonts w:hint="eastAsia" w:ascii="宋体" w:hAnsi="宋体" w:eastAsia="宋体" w:cs="宋体"/>
                <w:b/>
                <w:color w:val="auto"/>
                <w:sz w:val="21"/>
                <w:szCs w:val="21"/>
              </w:rPr>
              <w:t>投标有效期</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7532" w:type="dxa"/>
            <w:gridSpan w:val="3"/>
            <w:vAlign w:val="center"/>
          </w:tcPr>
          <w:p>
            <w:pPr>
              <w:spacing w:after="0"/>
              <w:jc w:val="both"/>
              <w:rPr>
                <w:rFonts w:hint="eastAsia" w:ascii="宋体" w:hAnsi="宋体" w:eastAsia="宋体" w:cs="宋体"/>
                <w:b/>
                <w:color w:val="auto"/>
                <w:sz w:val="21"/>
                <w:szCs w:val="21"/>
              </w:rPr>
            </w:pPr>
            <w:r>
              <w:rPr>
                <w:rFonts w:hint="eastAsia" w:ascii="宋体" w:hAnsi="宋体" w:eastAsia="宋体" w:cs="宋体"/>
                <w:color w:val="auto"/>
                <w:sz w:val="21"/>
                <w:szCs w:val="21"/>
              </w:rPr>
              <w:t>九十天。</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restart"/>
            <w:vAlign w:val="center"/>
          </w:tcPr>
          <w:p>
            <w:pPr>
              <w:spacing w:after="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12</w:t>
            </w:r>
          </w:p>
        </w:tc>
        <w:tc>
          <w:tcPr>
            <w:tcW w:w="7532" w:type="dxa"/>
            <w:gridSpan w:val="3"/>
            <w:vAlign w:val="center"/>
          </w:tcPr>
          <w:p>
            <w:pPr>
              <w:spacing w:after="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投标人应提交以下投标文件</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2608" w:type="dxa"/>
            <w:vAlign w:val="center"/>
          </w:tcPr>
          <w:p>
            <w:pPr>
              <w:spacing w:after="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投标文件类型</w:t>
            </w:r>
          </w:p>
        </w:tc>
        <w:tc>
          <w:tcPr>
            <w:tcW w:w="4924" w:type="dxa"/>
            <w:gridSpan w:val="2"/>
            <w:vAlign w:val="center"/>
          </w:tcPr>
          <w:p>
            <w:pPr>
              <w:spacing w:after="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份数</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2608" w:type="dxa"/>
            <w:vAlign w:val="center"/>
          </w:tcPr>
          <w:p>
            <w:pPr>
              <w:spacing w:after="0"/>
              <w:jc w:val="center"/>
              <w:rPr>
                <w:rFonts w:hint="eastAsia" w:ascii="宋体" w:hAnsi="宋体" w:eastAsia="宋体" w:cs="宋体"/>
                <w:b/>
                <w:color w:val="auto"/>
                <w:sz w:val="21"/>
                <w:szCs w:val="21"/>
                <w:lang w:eastAsia="zh-CN"/>
              </w:rPr>
            </w:pPr>
            <w:r>
              <w:rPr>
                <w:rFonts w:hint="eastAsia" w:ascii="宋体" w:hAnsi="宋体" w:eastAsia="宋体" w:cs="宋体"/>
                <w:b/>
                <w:color w:val="auto"/>
                <w:sz w:val="21"/>
                <w:szCs w:val="21"/>
                <w:lang w:eastAsia="zh-CN"/>
              </w:rPr>
              <w:t>开标文件</w:t>
            </w:r>
          </w:p>
        </w:tc>
        <w:tc>
          <w:tcPr>
            <w:tcW w:w="4924" w:type="dxa"/>
            <w:gridSpan w:val="2"/>
            <w:vAlign w:val="center"/>
          </w:tcPr>
          <w:p>
            <w:pPr>
              <w:spacing w:after="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2608" w:type="dxa"/>
            <w:vAlign w:val="center"/>
          </w:tcPr>
          <w:p>
            <w:pPr>
              <w:spacing w:after="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投标文件正本</w:t>
            </w:r>
          </w:p>
        </w:tc>
        <w:tc>
          <w:tcPr>
            <w:tcW w:w="4924" w:type="dxa"/>
            <w:gridSpan w:val="2"/>
            <w:vAlign w:val="center"/>
          </w:tcPr>
          <w:p>
            <w:pPr>
              <w:spacing w:after="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37"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2608" w:type="dxa"/>
            <w:vAlign w:val="center"/>
          </w:tcPr>
          <w:p>
            <w:pPr>
              <w:spacing w:after="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投标文件副本</w:t>
            </w:r>
          </w:p>
        </w:tc>
        <w:tc>
          <w:tcPr>
            <w:tcW w:w="4924" w:type="dxa"/>
            <w:gridSpan w:val="2"/>
            <w:vAlign w:val="center"/>
          </w:tcPr>
          <w:p>
            <w:pPr>
              <w:spacing w:after="0"/>
              <w:jc w:val="center"/>
              <w:rPr>
                <w:rFonts w:hint="eastAsia" w:ascii="宋体" w:hAnsi="宋体" w:eastAsia="宋体" w:cs="宋体"/>
                <w:b/>
                <w:color w:val="auto"/>
                <w:sz w:val="21"/>
                <w:szCs w:val="21"/>
                <w:lang w:eastAsia="zh-CN"/>
              </w:rPr>
            </w:pPr>
            <w:r>
              <w:rPr>
                <w:rFonts w:hint="eastAsia" w:ascii="宋体" w:hAnsi="宋体" w:eastAsia="宋体" w:cs="宋体"/>
                <w:b/>
                <w:color w:val="auto"/>
                <w:sz w:val="21"/>
                <w:szCs w:val="21"/>
                <w:lang w:val="en-US" w:eastAsia="zh-CN"/>
              </w:rPr>
              <w:t>5</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2608" w:type="dxa"/>
            <w:vAlign w:val="center"/>
          </w:tcPr>
          <w:p>
            <w:pPr>
              <w:spacing w:after="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电子文档</w:t>
            </w:r>
          </w:p>
        </w:tc>
        <w:tc>
          <w:tcPr>
            <w:tcW w:w="4924" w:type="dxa"/>
            <w:gridSpan w:val="2"/>
            <w:vAlign w:val="center"/>
          </w:tcPr>
          <w:p>
            <w:pPr>
              <w:spacing w:after="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57" w:hRule="atLeast"/>
        </w:trPr>
        <w:tc>
          <w:tcPr>
            <w:tcW w:w="8410" w:type="dxa"/>
            <w:gridSpan w:val="4"/>
            <w:vAlign w:val="center"/>
          </w:tcPr>
          <w:p>
            <w:pPr>
              <w:spacing w:after="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三、开标与评标</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13</w:t>
            </w:r>
          </w:p>
        </w:tc>
        <w:tc>
          <w:tcPr>
            <w:tcW w:w="7532" w:type="dxa"/>
            <w:gridSpan w:val="3"/>
            <w:vAlign w:val="center"/>
          </w:tcPr>
          <w:p>
            <w:pPr>
              <w:spacing w:after="0"/>
              <w:jc w:val="both"/>
              <w:rPr>
                <w:rFonts w:hint="eastAsia" w:ascii="宋体" w:hAnsi="宋体" w:eastAsia="宋体" w:cs="宋体"/>
                <w:color w:val="auto"/>
                <w:sz w:val="21"/>
                <w:szCs w:val="21"/>
              </w:rPr>
            </w:pPr>
            <w:r>
              <w:rPr>
                <w:rFonts w:hint="eastAsia" w:ascii="宋体" w:hAnsi="宋体" w:eastAsia="宋体" w:cs="宋体"/>
                <w:b/>
                <w:color w:val="auto"/>
                <w:sz w:val="21"/>
                <w:szCs w:val="21"/>
              </w:rPr>
              <w:t>本项目评标方法</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7532" w:type="dxa"/>
            <w:gridSpan w:val="3"/>
            <w:vAlign w:val="center"/>
          </w:tcPr>
          <w:p>
            <w:pPr>
              <w:spacing w:after="0"/>
              <w:jc w:val="both"/>
              <w:rPr>
                <w:rFonts w:hint="eastAsia" w:ascii="宋体" w:hAnsi="宋体" w:eastAsia="宋体" w:cs="宋体"/>
                <w:b/>
                <w:color w:val="auto"/>
                <w:sz w:val="21"/>
                <w:szCs w:val="21"/>
              </w:rPr>
            </w:pPr>
            <w:r>
              <w:rPr>
                <w:rFonts w:hint="eastAsia" w:ascii="宋体" w:hAnsi="宋体" w:eastAsia="宋体" w:cs="宋体"/>
                <w:color w:val="auto"/>
                <w:sz w:val="21"/>
                <w:szCs w:val="21"/>
              </w:rPr>
              <w:t>综合评分法。</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14</w:t>
            </w:r>
          </w:p>
        </w:tc>
        <w:tc>
          <w:tcPr>
            <w:tcW w:w="7532" w:type="dxa"/>
            <w:gridSpan w:val="3"/>
            <w:vAlign w:val="center"/>
          </w:tcPr>
          <w:p>
            <w:pPr>
              <w:spacing w:after="0"/>
              <w:jc w:val="both"/>
              <w:rPr>
                <w:rFonts w:hint="eastAsia" w:ascii="宋体" w:hAnsi="宋体" w:eastAsia="宋体" w:cs="宋体"/>
                <w:b/>
                <w:color w:val="auto"/>
                <w:sz w:val="21"/>
                <w:szCs w:val="21"/>
              </w:rPr>
            </w:pPr>
            <w:r>
              <w:rPr>
                <w:rFonts w:hint="eastAsia" w:ascii="宋体" w:hAnsi="宋体" w:eastAsia="宋体" w:cs="宋体"/>
                <w:b/>
                <w:color w:val="auto"/>
                <w:sz w:val="21"/>
                <w:szCs w:val="21"/>
              </w:rPr>
              <w:t>综合评分法评分因素和权重分值</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7532" w:type="dxa"/>
            <w:gridSpan w:val="3"/>
            <w:vAlign w:val="center"/>
          </w:tcPr>
          <w:p>
            <w:pPr>
              <w:spacing w:after="0"/>
              <w:jc w:val="both"/>
              <w:rPr>
                <w:rFonts w:hint="eastAsia" w:ascii="宋体" w:hAnsi="宋体" w:eastAsia="宋体" w:cs="宋体"/>
                <w:b/>
                <w:color w:val="auto"/>
                <w:sz w:val="21"/>
                <w:szCs w:val="21"/>
              </w:rPr>
            </w:pPr>
            <w:r>
              <w:rPr>
                <w:rFonts w:hint="eastAsia" w:ascii="宋体" w:hAnsi="宋体" w:eastAsia="宋体" w:cs="宋体"/>
                <w:color w:val="auto"/>
                <w:sz w:val="21"/>
                <w:szCs w:val="21"/>
              </w:rPr>
              <w:t>见附表一。</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restart"/>
            <w:vAlign w:val="center"/>
          </w:tcPr>
          <w:p>
            <w:pPr>
              <w:spacing w:after="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15（仅适用于政府采购项目）</w:t>
            </w:r>
          </w:p>
        </w:tc>
        <w:tc>
          <w:tcPr>
            <w:tcW w:w="7532" w:type="dxa"/>
            <w:gridSpan w:val="3"/>
            <w:vAlign w:val="center"/>
          </w:tcPr>
          <w:p>
            <w:pPr>
              <w:spacing w:after="0"/>
              <w:jc w:val="both"/>
              <w:rPr>
                <w:rFonts w:hint="eastAsia" w:ascii="宋体" w:hAnsi="宋体" w:eastAsia="宋体" w:cs="宋体"/>
                <w:color w:val="auto"/>
                <w:sz w:val="21"/>
                <w:szCs w:val="21"/>
              </w:rPr>
            </w:pPr>
            <w:r>
              <w:rPr>
                <w:rFonts w:hint="eastAsia" w:ascii="宋体" w:hAnsi="宋体" w:eastAsia="宋体" w:cs="宋体"/>
                <w:b/>
                <w:color w:val="auto"/>
                <w:sz w:val="21"/>
                <w:szCs w:val="21"/>
              </w:rPr>
              <w:t>小型或微型企业、监狱企业、残疾人福利性单位投标价格折扣标准</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7532" w:type="dxa"/>
            <w:gridSpan w:val="3"/>
            <w:vAlign w:val="center"/>
          </w:tcPr>
          <w:p>
            <w:pPr>
              <w:spacing w:after="0"/>
              <w:jc w:val="both"/>
              <w:rPr>
                <w:rFonts w:hint="eastAsia" w:ascii="宋体" w:hAnsi="宋体" w:eastAsia="宋体" w:cs="宋体"/>
                <w:color w:val="auto"/>
                <w:sz w:val="21"/>
                <w:szCs w:val="21"/>
              </w:rPr>
            </w:pPr>
            <w:r>
              <w:rPr>
                <w:rFonts w:hint="eastAsia" w:ascii="宋体" w:hAnsi="宋体" w:eastAsia="宋体" w:cs="宋体"/>
                <w:color w:val="auto"/>
                <w:sz w:val="21"/>
                <w:szCs w:val="21"/>
              </w:rPr>
              <w:t>6%。</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7532" w:type="dxa"/>
            <w:gridSpan w:val="3"/>
            <w:vAlign w:val="center"/>
          </w:tcPr>
          <w:p>
            <w:pPr>
              <w:spacing w:after="0"/>
              <w:jc w:val="both"/>
              <w:rPr>
                <w:rFonts w:hint="eastAsia" w:ascii="宋体" w:hAnsi="宋体" w:eastAsia="宋体" w:cs="宋体"/>
                <w:color w:val="auto"/>
                <w:sz w:val="21"/>
                <w:szCs w:val="21"/>
              </w:rPr>
            </w:pPr>
            <w:r>
              <w:rPr>
                <w:rFonts w:hint="eastAsia" w:ascii="宋体" w:hAnsi="宋体" w:eastAsia="宋体" w:cs="宋体"/>
                <w:b/>
                <w:color w:val="auto"/>
                <w:sz w:val="21"/>
                <w:szCs w:val="21"/>
              </w:rPr>
              <w:t>投标人符合须知“优惠政策”中联合体规定的投标价格折扣标准</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7532" w:type="dxa"/>
            <w:gridSpan w:val="3"/>
            <w:vAlign w:val="center"/>
          </w:tcPr>
          <w:p>
            <w:pPr>
              <w:spacing w:after="0"/>
              <w:jc w:val="both"/>
              <w:rPr>
                <w:rFonts w:hint="eastAsia" w:ascii="宋体" w:hAnsi="宋体" w:eastAsia="宋体" w:cs="宋体"/>
                <w:color w:val="auto"/>
                <w:sz w:val="21"/>
                <w:szCs w:val="21"/>
              </w:rPr>
            </w:pPr>
            <w:r>
              <w:rPr>
                <w:rFonts w:hint="eastAsia" w:ascii="宋体" w:hAnsi="宋体" w:eastAsia="宋体" w:cs="宋体"/>
                <w:color w:val="auto"/>
                <w:sz w:val="21"/>
                <w:szCs w:val="21"/>
              </w:rPr>
              <w:t>2%。</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7532" w:type="dxa"/>
            <w:gridSpan w:val="3"/>
            <w:vAlign w:val="center"/>
          </w:tcPr>
          <w:p>
            <w:pPr>
              <w:spacing w:after="0"/>
              <w:jc w:val="both"/>
              <w:rPr>
                <w:rFonts w:hint="eastAsia" w:ascii="宋体" w:hAnsi="宋体" w:eastAsia="宋体" w:cs="宋体"/>
                <w:color w:val="auto"/>
                <w:sz w:val="21"/>
                <w:szCs w:val="21"/>
              </w:rPr>
            </w:pPr>
            <w:r>
              <w:rPr>
                <w:rFonts w:hint="eastAsia" w:ascii="宋体" w:hAnsi="宋体" w:eastAsia="宋体" w:cs="宋体"/>
                <w:b/>
                <w:bCs/>
                <w:color w:val="auto"/>
                <w:sz w:val="21"/>
                <w:szCs w:val="21"/>
              </w:rPr>
              <w:t>投标人所投产品为获得节能产品认证或环境标志产品认证证书的价格折扣标准（相关规定详见投标人须知“优惠政策”）</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7532" w:type="dxa"/>
            <w:gridSpan w:val="3"/>
            <w:vAlign w:val="center"/>
          </w:tcPr>
          <w:p>
            <w:pPr>
              <w:spacing w:after="0"/>
              <w:jc w:val="both"/>
              <w:rPr>
                <w:rFonts w:hint="eastAsia" w:ascii="宋体" w:hAnsi="宋体" w:eastAsia="宋体" w:cs="宋体"/>
                <w:color w:val="auto"/>
                <w:sz w:val="21"/>
                <w:szCs w:val="21"/>
              </w:rPr>
            </w:pPr>
            <w:r>
              <w:rPr>
                <w:rFonts w:hint="eastAsia" w:ascii="宋体" w:hAnsi="宋体" w:eastAsia="宋体" w:cs="宋体"/>
                <w:color w:val="auto"/>
                <w:sz w:val="21"/>
                <w:szCs w:val="21"/>
              </w:rPr>
              <w:t>每项节能或环境标志产品折扣3%。</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17" w:hRule="atLeast"/>
        </w:trPr>
        <w:tc>
          <w:tcPr>
            <w:tcW w:w="8410" w:type="dxa"/>
            <w:gridSpan w:val="4"/>
            <w:vAlign w:val="center"/>
          </w:tcPr>
          <w:p>
            <w:pPr>
              <w:spacing w:after="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四、授予合同</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39" w:hRule="atLeast"/>
        </w:trPr>
        <w:tc>
          <w:tcPr>
            <w:tcW w:w="878" w:type="dxa"/>
            <w:vMerge w:val="restart"/>
            <w:vAlign w:val="center"/>
          </w:tcPr>
          <w:p>
            <w:pPr>
              <w:spacing w:after="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16</w:t>
            </w:r>
          </w:p>
        </w:tc>
        <w:tc>
          <w:tcPr>
            <w:tcW w:w="7532" w:type="dxa"/>
            <w:gridSpan w:val="3"/>
            <w:shd w:val="clear" w:color="auto" w:fill="auto"/>
            <w:vAlign w:val="center"/>
          </w:tcPr>
          <w:p>
            <w:pPr>
              <w:spacing w:after="0"/>
              <w:jc w:val="both"/>
              <w:rPr>
                <w:rFonts w:hint="eastAsia" w:ascii="宋体" w:hAnsi="宋体" w:eastAsia="宋体" w:cs="宋体"/>
                <w:b/>
                <w:color w:val="auto"/>
                <w:sz w:val="21"/>
                <w:szCs w:val="21"/>
                <w:lang w:eastAsia="zh-CN"/>
              </w:rPr>
            </w:pPr>
            <w:r>
              <w:rPr>
                <w:rFonts w:hint="eastAsia" w:ascii="宋体" w:hAnsi="宋体" w:eastAsia="宋体" w:cs="宋体"/>
                <w:b/>
                <w:color w:val="auto"/>
                <w:sz w:val="21"/>
                <w:szCs w:val="21"/>
              </w:rPr>
              <w:t>履约保证金</w:t>
            </w:r>
            <w:r>
              <w:rPr>
                <w:rFonts w:hint="eastAsia" w:ascii="宋体" w:hAnsi="宋体" w:eastAsia="宋体" w:cs="宋体"/>
                <w:b/>
                <w:color w:val="auto"/>
                <w:sz w:val="21"/>
                <w:szCs w:val="21"/>
                <w:lang w:eastAsia="zh-CN"/>
              </w:rPr>
              <w:t>（如有需要）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40"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7532" w:type="dxa"/>
            <w:gridSpan w:val="3"/>
            <w:shd w:val="clear" w:color="auto" w:fill="auto"/>
            <w:vAlign w:val="center"/>
          </w:tcPr>
          <w:p>
            <w:pPr>
              <w:spacing w:after="0"/>
              <w:jc w:val="both"/>
              <w:rPr>
                <w:rFonts w:hint="eastAsia" w:ascii="宋体" w:hAnsi="宋体" w:eastAsia="宋体" w:cs="宋体"/>
                <w:b/>
                <w:color w:val="auto"/>
                <w:sz w:val="21"/>
                <w:szCs w:val="21"/>
              </w:rPr>
            </w:pPr>
            <w:r>
              <w:rPr>
                <w:rFonts w:hint="eastAsia" w:ascii="宋体" w:hAnsi="宋体" w:eastAsia="宋体" w:cs="宋体"/>
                <w:color w:val="auto"/>
                <w:sz w:val="21"/>
                <w:szCs w:val="21"/>
              </w:rPr>
              <w:t>履约保证金的数额为采购合同金额的5%。</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65" w:hRule="atLeast"/>
        </w:trPr>
        <w:tc>
          <w:tcPr>
            <w:tcW w:w="878" w:type="dxa"/>
            <w:vMerge w:val="restart"/>
            <w:vAlign w:val="center"/>
          </w:tcPr>
          <w:p>
            <w:pPr>
              <w:spacing w:after="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17</w:t>
            </w:r>
          </w:p>
        </w:tc>
        <w:tc>
          <w:tcPr>
            <w:tcW w:w="7532" w:type="dxa"/>
            <w:gridSpan w:val="3"/>
            <w:vAlign w:val="center"/>
          </w:tcPr>
          <w:p>
            <w:pPr>
              <w:spacing w:after="0"/>
              <w:jc w:val="both"/>
              <w:rPr>
                <w:rFonts w:hint="eastAsia" w:ascii="宋体" w:hAnsi="宋体" w:eastAsia="宋体" w:cs="宋体"/>
                <w:b/>
                <w:color w:val="auto"/>
                <w:sz w:val="21"/>
                <w:szCs w:val="21"/>
              </w:rPr>
            </w:pPr>
            <w:r>
              <w:rPr>
                <w:rFonts w:hint="eastAsia" w:ascii="宋体" w:hAnsi="宋体" w:eastAsia="宋体" w:cs="宋体"/>
                <w:b/>
                <w:color w:val="auto"/>
                <w:sz w:val="21"/>
                <w:szCs w:val="21"/>
              </w:rPr>
              <w:t>中标服务费</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7532" w:type="dxa"/>
            <w:gridSpan w:val="3"/>
            <w:vAlign w:val="center"/>
          </w:tcPr>
          <w:p>
            <w:pPr>
              <w:widowControl w:val="0"/>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（1）中标服务费根据国家计委[计价格[2002]1980号]文和国家发改委[发改价格[2011]534号]文及相关规定</w:t>
            </w:r>
            <w:r>
              <w:rPr>
                <w:rFonts w:hint="eastAsia" w:ascii="宋体" w:hAnsi="宋体" w:eastAsia="宋体" w:cs="宋体"/>
                <w:color w:val="auto"/>
                <w:sz w:val="21"/>
                <w:szCs w:val="21"/>
                <w:lang w:eastAsia="zh-CN"/>
              </w:rPr>
              <w:t>向中标单位</w:t>
            </w:r>
            <w:r>
              <w:rPr>
                <w:rFonts w:hint="eastAsia" w:ascii="宋体" w:hAnsi="宋体" w:eastAsia="宋体" w:cs="宋体"/>
                <w:color w:val="auto"/>
                <w:sz w:val="21"/>
                <w:szCs w:val="21"/>
              </w:rPr>
              <w:t>收取，按差额定率累进法计算，以中标通知书中确定的中标总金额作为收费的计算依据；中标服务费最低收费标准为伍仟元整。</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pPr>
              <w:spacing w:after="0"/>
              <w:jc w:val="center"/>
              <w:rPr>
                <w:rFonts w:hint="eastAsia" w:ascii="宋体" w:hAnsi="宋体" w:eastAsia="宋体" w:cs="宋体"/>
                <w:color w:val="auto"/>
                <w:sz w:val="21"/>
                <w:szCs w:val="21"/>
              </w:rPr>
            </w:pPr>
          </w:p>
        </w:tc>
        <w:tc>
          <w:tcPr>
            <w:tcW w:w="7532" w:type="dxa"/>
            <w:gridSpan w:val="3"/>
            <w:vAlign w:val="center"/>
          </w:tcPr>
          <w:p>
            <w:pPr>
              <w:widowControl w:val="0"/>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（2）中标服务费以转账或现金的形式支付。采购代理机构服务费汇入账号：</w:t>
            </w:r>
          </w:p>
          <w:p>
            <w:pPr>
              <w:widowControl w:val="0"/>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收 款 人：三方诚信招标有限公司东莞分公司</w:t>
            </w:r>
          </w:p>
          <w:p>
            <w:pPr>
              <w:widowControl w:val="0"/>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开户银行：中国工商银行东莞市分行</w:t>
            </w:r>
          </w:p>
          <w:p>
            <w:pPr>
              <w:widowControl w:val="0"/>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账　　号：2010021309900018461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20" w:hRule="atLeast"/>
        </w:trPr>
        <w:tc>
          <w:tcPr>
            <w:tcW w:w="8410" w:type="dxa"/>
            <w:gridSpan w:val="4"/>
            <w:vAlign w:val="center"/>
          </w:tcPr>
          <w:p>
            <w:pPr>
              <w:widowControl w:val="0"/>
              <w:tabs>
                <w:tab w:val="left" w:pos="907"/>
              </w:tabs>
              <w:adjustRightInd/>
              <w:snapToGrid/>
              <w:spacing w:after="0"/>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注：本表关于要采购项目的具体资料，是对投标人须知的具体补充和修改，如有矛盾，应以本资料表为准。</w:t>
            </w:r>
          </w:p>
        </w:tc>
      </w:tr>
    </w:tbl>
    <w:p>
      <w:pPr>
        <w:jc w:val="center"/>
        <w:rPr>
          <w:rFonts w:hint="eastAsia" w:ascii="宋体" w:hAnsi="宋体" w:eastAsia="宋体" w:cs="宋体"/>
          <w:color w:val="auto"/>
        </w:rPr>
      </w:pPr>
      <w:r>
        <w:rPr>
          <w:rFonts w:hint="eastAsia" w:ascii="宋体" w:hAnsi="宋体" w:eastAsia="宋体" w:cs="宋体"/>
          <w:color w:val="auto"/>
        </w:rPr>
        <w:br w:type="page"/>
      </w:r>
    </w:p>
    <w:p>
      <w:pPr>
        <w:pStyle w:val="4"/>
        <w:spacing w:before="0" w:after="0" w:line="240" w:lineRule="auto"/>
        <w:jc w:val="center"/>
        <w:rPr>
          <w:rFonts w:hint="eastAsia" w:ascii="宋体" w:hAnsi="宋体" w:eastAsia="宋体" w:cs="宋体"/>
          <w:color w:val="auto"/>
          <w:sz w:val="24"/>
          <w:szCs w:val="24"/>
        </w:rPr>
      </w:pPr>
      <w:bookmarkStart w:id="3" w:name="_Toc11083"/>
      <w:r>
        <w:rPr>
          <w:rFonts w:hint="eastAsia" w:ascii="宋体" w:hAnsi="宋体" w:eastAsia="宋体" w:cs="宋体"/>
          <w:color w:val="auto"/>
          <w:sz w:val="24"/>
          <w:szCs w:val="24"/>
        </w:rPr>
        <w:t>附表二：商务技术评分及价格权重表</w:t>
      </w:r>
      <w:bookmarkEnd w:id="3"/>
    </w:p>
    <w:tbl>
      <w:tblPr>
        <w:tblStyle w:val="1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607"/>
        <w:gridCol w:w="762"/>
        <w:gridCol w:w="5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6"/>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1607" w:type="dxa"/>
            <w:tcBorders>
              <w:top w:val="single" w:color="auto" w:sz="4" w:space="0"/>
              <w:left w:val="single" w:color="auto" w:sz="4" w:space="0"/>
              <w:bottom w:val="single" w:color="auto" w:sz="4" w:space="0"/>
              <w:right w:val="single" w:color="auto" w:sz="4" w:space="0"/>
            </w:tcBorders>
            <w:vAlign w:val="center"/>
          </w:tcPr>
          <w:p>
            <w:pPr>
              <w:pStyle w:val="26"/>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评审项目</w:t>
            </w:r>
          </w:p>
        </w:tc>
        <w:tc>
          <w:tcPr>
            <w:tcW w:w="762" w:type="dxa"/>
            <w:tcBorders>
              <w:top w:val="single" w:color="auto" w:sz="4" w:space="0"/>
              <w:left w:val="single" w:color="auto" w:sz="4" w:space="0"/>
              <w:bottom w:val="single" w:color="auto" w:sz="4" w:space="0"/>
              <w:right w:val="single" w:color="auto" w:sz="4" w:space="0"/>
            </w:tcBorders>
            <w:vAlign w:val="center"/>
          </w:tcPr>
          <w:p>
            <w:pPr>
              <w:pStyle w:val="26"/>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分值</w:t>
            </w:r>
          </w:p>
        </w:tc>
        <w:tc>
          <w:tcPr>
            <w:tcW w:w="5463" w:type="dxa"/>
            <w:tcBorders>
              <w:top w:val="single" w:color="auto" w:sz="4" w:space="0"/>
              <w:left w:val="single" w:color="auto" w:sz="4" w:space="0"/>
              <w:bottom w:val="single" w:color="auto" w:sz="4" w:space="0"/>
              <w:right w:val="single" w:color="auto" w:sz="4" w:space="0"/>
            </w:tcBorders>
            <w:vAlign w:val="center"/>
          </w:tcPr>
          <w:p>
            <w:pPr>
              <w:pStyle w:val="26"/>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pPr>
              <w:pStyle w:val="26"/>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商务评审</w:t>
            </w:r>
            <w:r>
              <w:rPr>
                <w:rFonts w:hint="eastAsia" w:ascii="宋体" w:hAnsi="宋体" w:eastAsia="宋体" w:cs="宋体"/>
                <w:color w:val="auto"/>
                <w:sz w:val="21"/>
                <w:szCs w:val="21"/>
                <w:lang w:eastAsia="zh-CN"/>
              </w:rPr>
              <w:t>（满分</w:t>
            </w:r>
            <w:r>
              <w:rPr>
                <w:rFonts w:hint="eastAsia" w:ascii="宋体" w:hAnsi="宋体" w:eastAsia="宋体" w:cs="宋体"/>
                <w:color w:val="auto"/>
                <w:sz w:val="21"/>
                <w:szCs w:val="21"/>
                <w:lang w:val="en-US" w:eastAsia="zh-CN"/>
              </w:rPr>
              <w:t>20</w:t>
            </w:r>
            <w:r>
              <w:rPr>
                <w:rFonts w:hint="eastAsia" w:ascii="宋体" w:hAnsi="宋体" w:eastAsia="宋体" w:cs="宋体"/>
                <w:color w:val="auto"/>
                <w:sz w:val="21"/>
                <w:szCs w:val="21"/>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6"/>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w:t>
            </w:r>
          </w:p>
        </w:tc>
        <w:tc>
          <w:tcPr>
            <w:tcW w:w="1607" w:type="dxa"/>
            <w:tcBorders>
              <w:top w:val="single" w:color="auto" w:sz="4" w:space="0"/>
              <w:left w:val="single" w:color="auto" w:sz="4" w:space="0"/>
              <w:bottom w:val="single" w:color="auto" w:sz="4" w:space="0"/>
              <w:right w:val="single" w:color="auto" w:sz="4" w:space="0"/>
            </w:tcBorders>
            <w:vAlign w:val="center"/>
          </w:tcPr>
          <w:p>
            <w:pPr>
              <w:pStyle w:val="26"/>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相关业绩</w:t>
            </w:r>
          </w:p>
        </w:tc>
        <w:tc>
          <w:tcPr>
            <w:tcW w:w="762" w:type="dxa"/>
            <w:tcBorders>
              <w:top w:val="single" w:color="auto" w:sz="4" w:space="0"/>
              <w:left w:val="single" w:color="auto" w:sz="4" w:space="0"/>
              <w:bottom w:val="single" w:color="auto" w:sz="4" w:space="0"/>
              <w:right w:val="single" w:color="auto" w:sz="4" w:space="0"/>
            </w:tcBorders>
            <w:vAlign w:val="center"/>
          </w:tcPr>
          <w:p>
            <w:pPr>
              <w:pStyle w:val="26"/>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16</w:t>
            </w:r>
            <w:r>
              <w:rPr>
                <w:rFonts w:hint="eastAsia" w:ascii="宋体" w:hAnsi="宋体" w:eastAsia="宋体" w:cs="宋体"/>
                <w:color w:val="auto"/>
                <w:sz w:val="21"/>
                <w:szCs w:val="21"/>
                <w:lang w:val="zh-CN"/>
              </w:rPr>
              <w:t>分</w:t>
            </w:r>
          </w:p>
        </w:tc>
        <w:tc>
          <w:tcPr>
            <w:tcW w:w="5463" w:type="dxa"/>
            <w:tcBorders>
              <w:top w:val="single" w:color="auto" w:sz="4" w:space="0"/>
              <w:left w:val="single" w:color="auto" w:sz="4" w:space="0"/>
              <w:bottom w:val="single" w:color="auto" w:sz="4" w:space="0"/>
              <w:right w:val="single" w:color="auto" w:sz="4" w:space="0"/>
            </w:tcBorders>
            <w:vAlign w:val="center"/>
          </w:tcPr>
          <w:p>
            <w:pPr>
              <w:pStyle w:val="26"/>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lang w:val="zh-CN"/>
              </w:rPr>
            </w:pPr>
            <w:r>
              <w:rPr>
                <w:rFonts w:hint="eastAsia" w:ascii="宋体" w:hAnsi="宋体" w:eastAsia="宋体" w:cs="宋体"/>
                <w:bCs/>
                <w:color w:val="auto"/>
                <w:sz w:val="21"/>
                <w:szCs w:val="21"/>
                <w:highlight w:val="none"/>
                <w:lang w:eastAsia="zh-CN"/>
              </w:rPr>
              <w:t>根据</w:t>
            </w:r>
            <w:r>
              <w:rPr>
                <w:rFonts w:hint="eastAsia" w:ascii="宋体" w:hAnsi="宋体" w:eastAsia="宋体" w:cs="宋体"/>
                <w:bCs/>
                <w:color w:val="auto"/>
                <w:sz w:val="21"/>
                <w:szCs w:val="21"/>
                <w:highlight w:val="none"/>
              </w:rPr>
              <w:t>投标人201</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年以来</w:t>
            </w:r>
            <w:r>
              <w:rPr>
                <w:rFonts w:hint="eastAsia" w:ascii="宋体" w:hAnsi="宋体" w:eastAsia="宋体" w:cs="宋体"/>
                <w:bCs/>
                <w:color w:val="auto"/>
                <w:sz w:val="21"/>
                <w:szCs w:val="21"/>
                <w:highlight w:val="none"/>
                <w:lang w:eastAsia="zh-CN"/>
              </w:rPr>
              <w:t>（以合同签订之日为准）</w:t>
            </w:r>
            <w:r>
              <w:rPr>
                <w:rFonts w:hint="eastAsia" w:ascii="宋体" w:hAnsi="宋体" w:eastAsia="宋体" w:cs="宋体"/>
                <w:bCs/>
                <w:color w:val="auto"/>
                <w:sz w:val="21"/>
                <w:szCs w:val="21"/>
                <w:highlight w:val="none"/>
              </w:rPr>
              <w:t>承接的厨房</w:t>
            </w:r>
            <w:r>
              <w:rPr>
                <w:rFonts w:hint="eastAsia" w:ascii="宋体" w:hAnsi="宋体" w:eastAsia="宋体" w:cs="宋体"/>
                <w:bCs/>
                <w:color w:val="auto"/>
                <w:sz w:val="21"/>
                <w:szCs w:val="21"/>
                <w:highlight w:val="none"/>
                <w:lang w:eastAsia="zh-CN"/>
              </w:rPr>
              <w:t>厨具及配套</w:t>
            </w:r>
            <w:r>
              <w:rPr>
                <w:rFonts w:hint="eastAsia" w:ascii="宋体" w:hAnsi="宋体" w:eastAsia="宋体" w:cs="宋体"/>
                <w:bCs/>
                <w:color w:val="auto"/>
                <w:sz w:val="21"/>
                <w:szCs w:val="21"/>
                <w:highlight w:val="none"/>
              </w:rPr>
              <w:t>项目业绩进行评审，提供</w:t>
            </w:r>
            <w:r>
              <w:rPr>
                <w:rFonts w:hint="eastAsia" w:ascii="宋体" w:hAnsi="宋体" w:eastAsia="宋体" w:cs="宋体"/>
                <w:bCs/>
                <w:color w:val="auto"/>
                <w:sz w:val="21"/>
                <w:szCs w:val="21"/>
                <w:highlight w:val="none"/>
                <w:lang w:eastAsia="zh-CN"/>
              </w:rPr>
              <w:t>一个有效业绩得</w:t>
            </w:r>
            <w:r>
              <w:rPr>
                <w:rFonts w:hint="eastAsia" w:ascii="宋体" w:hAnsi="宋体" w:eastAsia="宋体" w:cs="宋体"/>
                <w:bCs/>
                <w:color w:val="auto"/>
                <w:sz w:val="21"/>
                <w:szCs w:val="21"/>
                <w:highlight w:val="none"/>
                <w:lang w:val="en-US" w:eastAsia="zh-CN"/>
              </w:rPr>
              <w:t>4分，</w:t>
            </w:r>
            <w:r>
              <w:rPr>
                <w:rFonts w:hint="eastAsia" w:ascii="宋体" w:hAnsi="宋体" w:eastAsia="宋体" w:cs="宋体"/>
                <w:color w:val="auto"/>
                <w:sz w:val="21"/>
                <w:szCs w:val="21"/>
                <w:lang w:val="zh-CN"/>
              </w:rPr>
              <w:t>最高得</w:t>
            </w:r>
            <w:r>
              <w:rPr>
                <w:rFonts w:hint="eastAsia" w:ascii="宋体" w:hAnsi="宋体" w:eastAsia="宋体" w:cs="宋体"/>
                <w:color w:val="auto"/>
                <w:sz w:val="21"/>
                <w:szCs w:val="21"/>
                <w:lang w:val="en-US" w:eastAsia="zh-CN"/>
              </w:rPr>
              <w:t>16</w:t>
            </w:r>
            <w:r>
              <w:rPr>
                <w:rFonts w:hint="eastAsia" w:ascii="宋体" w:hAnsi="宋体" w:eastAsia="宋体" w:cs="宋体"/>
                <w:color w:val="auto"/>
                <w:sz w:val="21"/>
                <w:szCs w:val="21"/>
                <w:lang w:val="zh-CN"/>
              </w:rPr>
              <w:t>分。</w:t>
            </w:r>
          </w:p>
          <w:p>
            <w:pPr>
              <w:pStyle w:val="26"/>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提供以上业绩合同关键页复印件加盖公章。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7"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6"/>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w:t>
            </w:r>
          </w:p>
        </w:tc>
        <w:tc>
          <w:tcPr>
            <w:tcW w:w="1607" w:type="dxa"/>
            <w:tcBorders>
              <w:top w:val="single" w:color="auto" w:sz="4" w:space="0"/>
              <w:left w:val="single" w:color="auto" w:sz="4" w:space="0"/>
              <w:bottom w:val="single" w:color="auto" w:sz="4" w:space="0"/>
              <w:right w:val="single" w:color="auto" w:sz="4" w:space="0"/>
            </w:tcBorders>
            <w:vAlign w:val="center"/>
          </w:tcPr>
          <w:p>
            <w:pPr>
              <w:pStyle w:val="26"/>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售后服务</w:t>
            </w:r>
          </w:p>
        </w:tc>
        <w:tc>
          <w:tcPr>
            <w:tcW w:w="762" w:type="dxa"/>
            <w:tcBorders>
              <w:top w:val="single" w:color="auto" w:sz="4" w:space="0"/>
              <w:left w:val="single" w:color="auto" w:sz="4" w:space="0"/>
              <w:bottom w:val="single" w:color="auto" w:sz="4" w:space="0"/>
              <w:right w:val="single" w:color="auto" w:sz="4" w:space="0"/>
            </w:tcBorders>
            <w:vAlign w:val="center"/>
          </w:tcPr>
          <w:p>
            <w:pPr>
              <w:pStyle w:val="26"/>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val="zh-CN"/>
              </w:rPr>
              <w:t>分</w:t>
            </w:r>
          </w:p>
        </w:tc>
        <w:tc>
          <w:tcPr>
            <w:tcW w:w="546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根据投标人提供的服务响应时间承诺进行评分。</w:t>
            </w:r>
          </w:p>
          <w:p>
            <w:pPr>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（1）投标人承诺在接到采购人通知后</w:t>
            </w:r>
            <w:r>
              <w:rPr>
                <w:rFonts w:hint="eastAsia" w:ascii="宋体" w:hAnsi="宋体" w:eastAsia="宋体" w:cs="宋体"/>
                <w:bCs/>
                <w:color w:val="auto"/>
                <w:sz w:val="21"/>
                <w:szCs w:val="21"/>
                <w:lang w:val="en-US" w:eastAsia="zh-CN"/>
              </w:rPr>
              <w:t>1</w:t>
            </w:r>
            <w:r>
              <w:rPr>
                <w:rFonts w:hint="eastAsia" w:ascii="宋体" w:hAnsi="宋体" w:eastAsia="宋体" w:cs="宋体"/>
                <w:bCs/>
                <w:color w:val="auto"/>
                <w:sz w:val="21"/>
                <w:szCs w:val="21"/>
              </w:rPr>
              <w:t>小时内到现场，得</w:t>
            </w:r>
            <w:r>
              <w:rPr>
                <w:rFonts w:hint="eastAsia" w:ascii="宋体" w:hAnsi="宋体" w:eastAsia="宋体" w:cs="宋体"/>
                <w:bCs/>
                <w:color w:val="auto"/>
                <w:sz w:val="21"/>
                <w:szCs w:val="21"/>
                <w:lang w:val="en-US" w:eastAsia="zh-CN"/>
              </w:rPr>
              <w:t>4</w:t>
            </w:r>
            <w:r>
              <w:rPr>
                <w:rFonts w:hint="eastAsia" w:ascii="宋体" w:hAnsi="宋体" w:eastAsia="宋体" w:cs="宋体"/>
                <w:bCs/>
                <w:color w:val="auto"/>
                <w:sz w:val="21"/>
                <w:szCs w:val="21"/>
              </w:rPr>
              <w:t>分；</w:t>
            </w:r>
          </w:p>
          <w:p>
            <w:pPr>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（2）投标人承诺在接到采购人通知后</w:t>
            </w:r>
            <w:r>
              <w:rPr>
                <w:rFonts w:hint="eastAsia" w:ascii="宋体" w:hAnsi="宋体" w:eastAsia="宋体" w:cs="宋体"/>
                <w:bCs/>
                <w:color w:val="auto"/>
                <w:sz w:val="21"/>
                <w:szCs w:val="21"/>
                <w:lang w:val="en-US" w:eastAsia="zh-CN"/>
              </w:rPr>
              <w:t>2</w:t>
            </w:r>
            <w:r>
              <w:rPr>
                <w:rFonts w:hint="eastAsia" w:ascii="宋体" w:hAnsi="宋体" w:eastAsia="宋体" w:cs="宋体"/>
                <w:bCs/>
                <w:color w:val="auto"/>
                <w:sz w:val="21"/>
                <w:szCs w:val="21"/>
              </w:rPr>
              <w:t>小时内到现场，得</w:t>
            </w:r>
            <w:r>
              <w:rPr>
                <w:rFonts w:hint="eastAsia" w:ascii="宋体" w:hAnsi="宋体" w:eastAsia="宋体" w:cs="宋体"/>
                <w:bCs/>
                <w:color w:val="auto"/>
                <w:sz w:val="21"/>
                <w:szCs w:val="21"/>
                <w:lang w:val="en-US" w:eastAsia="zh-CN"/>
              </w:rPr>
              <w:t>2</w:t>
            </w:r>
            <w:r>
              <w:rPr>
                <w:rFonts w:hint="eastAsia" w:ascii="宋体" w:hAnsi="宋体" w:eastAsia="宋体" w:cs="宋体"/>
                <w:bCs/>
                <w:color w:val="auto"/>
                <w:sz w:val="21"/>
                <w:szCs w:val="21"/>
              </w:rPr>
              <w:t>分；</w:t>
            </w:r>
          </w:p>
          <w:p>
            <w:pPr>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（3）投标人承诺在接到采购人通知后3小时内到现场，得1分；</w:t>
            </w:r>
          </w:p>
          <w:p>
            <w:pPr>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（4）投标人承诺在接到采购人通知后超过3小时到现场</w:t>
            </w:r>
            <w:r>
              <w:rPr>
                <w:rFonts w:hint="eastAsia" w:ascii="宋体" w:hAnsi="宋体" w:eastAsia="宋体" w:cs="宋体"/>
                <w:bCs/>
                <w:color w:val="auto"/>
                <w:sz w:val="21"/>
                <w:szCs w:val="21"/>
                <w:lang w:eastAsia="zh-CN"/>
              </w:rPr>
              <w:t>或无提供，</w:t>
            </w:r>
            <w:r>
              <w:rPr>
                <w:rFonts w:hint="eastAsia" w:ascii="宋体" w:hAnsi="宋体" w:eastAsia="宋体" w:cs="宋体"/>
                <w:bCs/>
                <w:color w:val="auto"/>
                <w:sz w:val="21"/>
                <w:szCs w:val="21"/>
              </w:rPr>
              <w:t>不得分。</w:t>
            </w:r>
          </w:p>
          <w:p>
            <w:pPr>
              <w:pStyle w:val="26"/>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lang w:val="zh-CN"/>
              </w:rPr>
            </w:pPr>
            <w:r>
              <w:rPr>
                <w:rFonts w:hint="eastAsia" w:ascii="宋体" w:hAnsi="宋体" w:eastAsia="宋体" w:cs="宋体"/>
                <w:bCs/>
                <w:color w:val="auto"/>
                <w:sz w:val="21"/>
                <w:szCs w:val="21"/>
              </w:rPr>
              <w:t>提供服务承诺书并加盖投标人公章。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pPr>
              <w:pStyle w:val="26"/>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技术评审</w:t>
            </w:r>
            <w:r>
              <w:rPr>
                <w:rFonts w:hint="eastAsia" w:ascii="宋体" w:hAnsi="宋体" w:eastAsia="宋体" w:cs="宋体"/>
                <w:color w:val="auto"/>
                <w:sz w:val="21"/>
                <w:szCs w:val="21"/>
                <w:lang w:eastAsia="zh-CN"/>
              </w:rPr>
              <w:t>（满分</w:t>
            </w:r>
            <w:r>
              <w:rPr>
                <w:rFonts w:hint="eastAsia" w:ascii="宋体" w:hAnsi="宋体" w:eastAsia="宋体" w:cs="宋体"/>
                <w:color w:val="auto"/>
                <w:sz w:val="21"/>
                <w:szCs w:val="21"/>
                <w:lang w:val="en-US" w:eastAsia="zh-CN"/>
              </w:rPr>
              <w:t>50</w:t>
            </w:r>
            <w:r>
              <w:rPr>
                <w:rFonts w:hint="eastAsia" w:ascii="宋体" w:hAnsi="宋体" w:eastAsia="宋体" w:cs="宋体"/>
                <w:color w:val="auto"/>
                <w:sz w:val="21"/>
                <w:szCs w:val="21"/>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6"/>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w:t>
            </w:r>
          </w:p>
        </w:tc>
        <w:tc>
          <w:tcPr>
            <w:tcW w:w="16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beforeAutospacing="0" w:after="0" w:afterAutospacing="0" w:line="360" w:lineRule="auto"/>
              <w:ind w:left="0" w:leftChars="0"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rPr>
              <w:t>主要设备</w:t>
            </w:r>
            <w:r>
              <w:rPr>
                <w:rFonts w:hint="eastAsia" w:ascii="宋体" w:hAnsi="宋体" w:eastAsia="宋体" w:cs="宋体"/>
                <w:color w:val="auto"/>
                <w:sz w:val="21"/>
                <w:szCs w:val="21"/>
                <w:highlight w:val="none"/>
                <w:lang w:eastAsia="zh-CN"/>
              </w:rPr>
              <w:t>性能</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beforeAutospacing="0" w:after="0" w:afterAutospacing="0" w:line="360" w:lineRule="auto"/>
              <w:ind w:left="0" w:leftChars="0"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546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根据投标方案提供的设备是否在同类产品、竞争产品中领先、技术性能是否优越，以及技术功能的先进性、可靠性等进行</w:t>
            </w:r>
            <w:r>
              <w:rPr>
                <w:rFonts w:hint="eastAsia" w:ascii="宋体" w:hAnsi="宋体" w:eastAsia="宋体" w:cs="宋体"/>
                <w:b w:val="0"/>
                <w:bCs w:val="0"/>
                <w:color w:val="auto"/>
                <w:sz w:val="21"/>
                <w:szCs w:val="21"/>
                <w:highlight w:val="none"/>
              </w:rPr>
              <w:t>评</w:t>
            </w:r>
            <w:r>
              <w:rPr>
                <w:rFonts w:hint="eastAsia" w:ascii="宋体" w:hAnsi="宋体" w:eastAsia="宋体" w:cs="宋体"/>
                <w:b w:val="0"/>
                <w:bCs w:val="0"/>
                <w:color w:val="auto"/>
                <w:sz w:val="21"/>
                <w:szCs w:val="21"/>
                <w:highlight w:val="none"/>
                <w:lang w:eastAsia="zh-CN"/>
              </w:rPr>
              <w:t>审</w:t>
            </w:r>
            <w:r>
              <w:rPr>
                <w:rFonts w:hint="eastAsia" w:ascii="宋体" w:hAnsi="宋体" w:eastAsia="宋体" w:cs="宋体"/>
                <w:color w:val="auto"/>
                <w:sz w:val="21"/>
                <w:szCs w:val="21"/>
              </w:rPr>
              <w:t>：</w:t>
            </w:r>
          </w:p>
          <w:p>
            <w:pPr>
              <w:keepNext w:val="0"/>
              <w:keepLines w:val="0"/>
              <w:pageBreakBefore w:val="0"/>
              <w:widowControl/>
              <w:kinsoku/>
              <w:wordWrap/>
              <w:overflowPunct/>
              <w:topLinePunct w:val="0"/>
              <w:autoSpaceDE/>
              <w:autoSpaceDN/>
              <w:bidi w:val="0"/>
              <w:adjustRightInd/>
              <w:spacing w:after="0"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设备性能优异、完全满足并优于招标文件要求，得</w:t>
            </w: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分；</w:t>
            </w:r>
          </w:p>
          <w:p>
            <w:pPr>
              <w:keepNext w:val="0"/>
              <w:keepLines w:val="0"/>
              <w:pageBreakBefore w:val="0"/>
              <w:widowControl/>
              <w:kinsoku/>
              <w:wordWrap/>
              <w:overflowPunct/>
              <w:topLinePunct w:val="0"/>
              <w:autoSpaceDE/>
              <w:autoSpaceDN/>
              <w:bidi w:val="0"/>
              <w:adjustRightInd/>
              <w:spacing w:after="0"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设备性能良好、符合招标文件要求，得</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分；</w:t>
            </w:r>
          </w:p>
          <w:p>
            <w:pPr>
              <w:keepNext w:val="0"/>
              <w:keepLines w:val="0"/>
              <w:pageBreakBefore w:val="0"/>
              <w:widowControl/>
              <w:kinsoku/>
              <w:wordWrap/>
              <w:overflowPunct/>
              <w:topLinePunct w:val="0"/>
              <w:autoSpaceDE/>
              <w:autoSpaceDN/>
              <w:bidi w:val="0"/>
              <w:adjustRightInd/>
              <w:spacing w:after="0"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设备性能一般、基本符合招标文件要求，得</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分。</w:t>
            </w:r>
          </w:p>
          <w:p>
            <w:pPr>
              <w:keepNext w:val="0"/>
              <w:keepLines w:val="0"/>
              <w:pageBreakBefore w:val="0"/>
              <w:widowControl/>
              <w:kinsoku/>
              <w:wordWrap/>
              <w:overflowPunct/>
              <w:topLinePunct w:val="0"/>
              <w:autoSpaceDE/>
              <w:autoSpaceDN/>
              <w:bidi w:val="0"/>
              <w:adjustRightInd/>
              <w:spacing w:after="0" w:line="360" w:lineRule="auto"/>
              <w:ind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sz w:val="21"/>
                <w:szCs w:val="21"/>
              </w:rPr>
              <w:t>设备性能差、不符合招标文件要求，得1分。</w:t>
            </w:r>
          </w:p>
          <w:p>
            <w:pPr>
              <w:keepNext w:val="0"/>
              <w:keepLines w:val="0"/>
              <w:pageBreakBefore w:val="0"/>
              <w:widowControl/>
              <w:kinsoku/>
              <w:wordWrap/>
              <w:overflowPunct/>
              <w:topLinePunct w:val="0"/>
              <w:autoSpaceDE/>
              <w:autoSpaceDN/>
              <w:bidi w:val="0"/>
              <w:adjustRightInd/>
              <w:spacing w:beforeAutospacing="0" w:after="0" w:afterAutospacing="0" w:line="360" w:lineRule="auto"/>
              <w:ind w:left="0" w:leftChars="0" w:firstLine="420" w:firstLineChars="200"/>
              <w:jc w:val="left"/>
              <w:textAlignment w:val="auto"/>
              <w:rPr>
                <w:rFonts w:hint="eastAsia" w:ascii="宋体" w:hAnsi="宋体" w:eastAsia="宋体" w:cs="宋体"/>
                <w:color w:val="auto"/>
                <w:sz w:val="21"/>
                <w:szCs w:val="21"/>
                <w:lang w:val="zh-CN"/>
              </w:rPr>
            </w:pPr>
            <w:r>
              <w:rPr>
                <w:rFonts w:hint="eastAsia" w:ascii="宋体" w:hAnsi="宋体" w:eastAsia="宋体" w:cs="宋体"/>
                <w:color w:val="auto"/>
                <w:kern w:val="2"/>
                <w:sz w:val="21"/>
                <w:szCs w:val="21"/>
              </w:rPr>
              <w:t>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6"/>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w:t>
            </w:r>
          </w:p>
        </w:tc>
        <w:tc>
          <w:tcPr>
            <w:tcW w:w="16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beforeAutospacing="0" w:after="0" w:afterAutospacing="0" w:line="360" w:lineRule="auto"/>
              <w:ind w:left="0" w:leftChars="0"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lang w:eastAsia="zh-CN"/>
              </w:rPr>
              <w:t>供货方案</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beforeAutospacing="0" w:after="0" w:afterAutospacing="0" w:line="360" w:lineRule="auto"/>
              <w:ind w:left="0" w:leftChars="0"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546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beforeAutospacing="0" w:after="0" w:afterAutospacing="0" w:line="360" w:lineRule="auto"/>
              <w:ind w:left="0" w:firstLine="420" w:firstLineChars="20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根据投标人对本项目作出的</w:t>
            </w:r>
            <w:r>
              <w:rPr>
                <w:rFonts w:hint="eastAsia" w:ascii="宋体" w:hAnsi="宋体" w:eastAsia="宋体" w:cs="宋体"/>
                <w:color w:val="auto"/>
                <w:sz w:val="21"/>
                <w:szCs w:val="21"/>
                <w:highlight w:val="none"/>
                <w:lang w:eastAsia="zh-CN"/>
              </w:rPr>
              <w:t>供货</w:t>
            </w:r>
            <w:r>
              <w:rPr>
                <w:rFonts w:hint="eastAsia" w:ascii="宋体" w:hAnsi="宋体" w:eastAsia="宋体" w:cs="宋体"/>
                <w:b w:val="0"/>
                <w:bCs w:val="0"/>
                <w:color w:val="auto"/>
                <w:sz w:val="21"/>
                <w:szCs w:val="21"/>
                <w:highlight w:val="none"/>
              </w:rPr>
              <w:t>进度计划安排，交货期、安装调试计划等进行评</w:t>
            </w:r>
            <w:r>
              <w:rPr>
                <w:rFonts w:hint="eastAsia" w:ascii="宋体" w:hAnsi="宋体" w:eastAsia="宋体" w:cs="宋体"/>
                <w:b w:val="0"/>
                <w:bCs w:val="0"/>
                <w:color w:val="auto"/>
                <w:sz w:val="21"/>
                <w:szCs w:val="21"/>
                <w:highlight w:val="none"/>
                <w:lang w:eastAsia="zh-CN"/>
              </w:rPr>
              <w:t>审</w:t>
            </w:r>
            <w:r>
              <w:rPr>
                <w:rFonts w:hint="eastAsia" w:ascii="宋体" w:hAnsi="宋体" w:eastAsia="宋体" w:cs="宋体"/>
                <w:b w:val="0"/>
                <w:bCs w:val="0"/>
                <w:color w:val="auto"/>
                <w:sz w:val="21"/>
                <w:szCs w:val="21"/>
                <w:highlight w:val="none"/>
              </w:rPr>
              <w:t>：</w:t>
            </w:r>
          </w:p>
          <w:p>
            <w:pPr>
              <w:pStyle w:val="26"/>
              <w:keepNext w:val="0"/>
              <w:keepLines w:val="0"/>
              <w:pageBreakBefore w:val="0"/>
              <w:widowControl/>
              <w:kinsoku/>
              <w:wordWrap/>
              <w:overflowPunct/>
              <w:topLinePunct w:val="0"/>
              <w:autoSpaceDE/>
              <w:autoSpaceDN/>
              <w:bidi w:val="0"/>
              <w:adjustRightInd/>
              <w:spacing w:beforeAutospacing="0" w:after="0" w:afterAutospacing="0" w:line="360" w:lineRule="auto"/>
              <w:ind w:left="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方案内容齐全，提供合理化设计，交货期，方案科学、先进、可行，非常有利项目实施的，得</w:t>
            </w:r>
            <w:r>
              <w:rPr>
                <w:rFonts w:hint="eastAsia" w:ascii="宋体" w:hAnsi="宋体" w:eastAsia="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rPr>
              <w:t>分；</w:t>
            </w:r>
          </w:p>
          <w:p>
            <w:pPr>
              <w:pStyle w:val="26"/>
              <w:keepNext w:val="0"/>
              <w:keepLines w:val="0"/>
              <w:pageBreakBefore w:val="0"/>
              <w:widowControl/>
              <w:kinsoku/>
              <w:wordWrap/>
              <w:overflowPunct/>
              <w:topLinePunct w:val="0"/>
              <w:autoSpaceDE/>
              <w:autoSpaceDN/>
              <w:bidi w:val="0"/>
              <w:adjustRightInd/>
              <w:spacing w:beforeAutospacing="0" w:after="0" w:afterAutospacing="0" w:line="360" w:lineRule="auto"/>
              <w:ind w:left="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方案内容</w:t>
            </w:r>
            <w:r>
              <w:rPr>
                <w:rFonts w:hint="eastAsia" w:ascii="宋体" w:hAnsi="宋体" w:eastAsia="宋体" w:cs="宋体"/>
                <w:b w:val="0"/>
                <w:bCs w:val="0"/>
                <w:color w:val="auto"/>
                <w:sz w:val="21"/>
                <w:szCs w:val="21"/>
                <w:highlight w:val="none"/>
                <w:lang w:eastAsia="zh-CN"/>
              </w:rPr>
              <w:t>基本</w:t>
            </w:r>
            <w:r>
              <w:rPr>
                <w:rFonts w:hint="eastAsia" w:ascii="宋体" w:hAnsi="宋体" w:eastAsia="宋体" w:cs="宋体"/>
                <w:b w:val="0"/>
                <w:bCs w:val="0"/>
                <w:color w:val="auto"/>
                <w:sz w:val="21"/>
                <w:szCs w:val="21"/>
                <w:highlight w:val="none"/>
              </w:rPr>
              <w:t>齐全，</w:t>
            </w:r>
            <w:r>
              <w:rPr>
                <w:rFonts w:hint="eastAsia" w:ascii="宋体" w:hAnsi="宋体" w:eastAsia="宋体" w:cs="宋体"/>
                <w:b w:val="0"/>
                <w:bCs w:val="0"/>
                <w:color w:val="auto"/>
                <w:sz w:val="21"/>
                <w:szCs w:val="21"/>
                <w:highlight w:val="none"/>
                <w:lang w:eastAsia="zh-CN"/>
              </w:rPr>
              <w:t>有基本的</w:t>
            </w:r>
            <w:r>
              <w:rPr>
                <w:rFonts w:hint="eastAsia" w:ascii="宋体" w:hAnsi="宋体" w:eastAsia="宋体" w:cs="宋体"/>
                <w:b w:val="0"/>
                <w:bCs w:val="0"/>
                <w:color w:val="auto"/>
                <w:sz w:val="21"/>
                <w:szCs w:val="21"/>
                <w:highlight w:val="none"/>
              </w:rPr>
              <w:t>合理化设计，交货期，方案</w:t>
            </w:r>
            <w:r>
              <w:rPr>
                <w:rFonts w:hint="eastAsia" w:ascii="宋体" w:hAnsi="宋体" w:eastAsia="宋体" w:cs="宋体"/>
                <w:b w:val="0"/>
                <w:bCs w:val="0"/>
                <w:color w:val="auto"/>
                <w:sz w:val="21"/>
                <w:szCs w:val="21"/>
                <w:highlight w:val="none"/>
                <w:lang w:eastAsia="zh-CN"/>
              </w:rPr>
              <w:t>较</w:t>
            </w:r>
            <w:r>
              <w:rPr>
                <w:rFonts w:hint="eastAsia" w:ascii="宋体" w:hAnsi="宋体" w:eastAsia="宋体" w:cs="宋体"/>
                <w:b w:val="0"/>
                <w:bCs w:val="0"/>
                <w:color w:val="auto"/>
                <w:sz w:val="21"/>
                <w:szCs w:val="21"/>
                <w:highlight w:val="none"/>
              </w:rPr>
              <w:t>可行，利</w:t>
            </w:r>
            <w:r>
              <w:rPr>
                <w:rFonts w:hint="eastAsia" w:ascii="宋体" w:hAnsi="宋体" w:eastAsia="宋体" w:cs="宋体"/>
                <w:b w:val="0"/>
                <w:bCs w:val="0"/>
                <w:color w:val="auto"/>
                <w:sz w:val="21"/>
                <w:szCs w:val="21"/>
                <w:highlight w:val="none"/>
                <w:lang w:eastAsia="zh-CN"/>
              </w:rPr>
              <w:t>于</w:t>
            </w:r>
            <w:r>
              <w:rPr>
                <w:rFonts w:hint="eastAsia" w:ascii="宋体" w:hAnsi="宋体" w:eastAsia="宋体" w:cs="宋体"/>
                <w:b w:val="0"/>
                <w:bCs w:val="0"/>
                <w:color w:val="auto"/>
                <w:sz w:val="21"/>
                <w:szCs w:val="21"/>
                <w:highlight w:val="none"/>
              </w:rPr>
              <w:t>项目实施的，得</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分；</w:t>
            </w:r>
          </w:p>
          <w:p>
            <w:pPr>
              <w:pStyle w:val="26"/>
              <w:keepNext w:val="0"/>
              <w:keepLines w:val="0"/>
              <w:pageBreakBefore w:val="0"/>
              <w:widowControl/>
              <w:kinsoku/>
              <w:wordWrap/>
              <w:overflowPunct/>
              <w:topLinePunct w:val="0"/>
              <w:autoSpaceDE/>
              <w:autoSpaceDN/>
              <w:bidi w:val="0"/>
              <w:adjustRightInd/>
              <w:spacing w:beforeAutospacing="0" w:after="0" w:afterAutospacing="0" w:line="360" w:lineRule="auto"/>
              <w:ind w:left="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内容齐全、方案可行、一般，部分有利于项目实施的，得</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分；</w:t>
            </w:r>
          </w:p>
          <w:p>
            <w:pPr>
              <w:keepNext w:val="0"/>
              <w:keepLines w:val="0"/>
              <w:pageBreakBefore w:val="0"/>
              <w:widowControl/>
              <w:kinsoku/>
              <w:wordWrap/>
              <w:overflowPunct/>
              <w:topLinePunct w:val="0"/>
              <w:autoSpaceDE/>
              <w:autoSpaceDN/>
              <w:bidi w:val="0"/>
              <w:adjustRightInd/>
              <w:spacing w:beforeAutospacing="0" w:after="0" w:afterAutospacing="0" w:line="360" w:lineRule="auto"/>
              <w:ind w:left="0" w:firstLine="420" w:firstLineChars="20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内容有欠缺或表述的内容不完全符合现场实际，部分有利于项目实施的，得</w:t>
            </w: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分；</w:t>
            </w:r>
          </w:p>
          <w:p>
            <w:pPr>
              <w:pStyle w:val="3"/>
              <w:keepNext w:val="0"/>
              <w:keepLines w:val="0"/>
              <w:pageBreakBefore w:val="0"/>
              <w:widowControl/>
              <w:kinsoku/>
              <w:wordWrap/>
              <w:overflowPunct/>
              <w:topLinePunct w:val="0"/>
              <w:autoSpaceDE/>
              <w:autoSpaceDN/>
              <w:bidi w:val="0"/>
              <w:adjustRightInd/>
              <w:spacing w:before="0" w:beforeAutospacing="0" w:after="0" w:afterAutospacing="0" w:line="360" w:lineRule="auto"/>
              <w:ind w:left="0" w:leftChars="0" w:firstLine="420" w:firstLineChars="200"/>
              <w:textAlignment w:val="auto"/>
              <w:rPr>
                <w:rFonts w:hint="eastAsia" w:ascii="宋体" w:hAnsi="宋体" w:eastAsia="宋体" w:cs="宋体"/>
                <w:color w:val="auto"/>
                <w:sz w:val="21"/>
                <w:szCs w:val="21"/>
                <w:lang w:val="zh-CN"/>
              </w:rPr>
            </w:pPr>
            <w:r>
              <w:rPr>
                <w:rFonts w:hint="eastAsia" w:ascii="宋体" w:hAnsi="宋体" w:eastAsia="宋体" w:cs="宋体"/>
                <w:b w:val="0"/>
                <w:bCs w:val="0"/>
                <w:color w:val="auto"/>
                <w:sz w:val="21"/>
                <w:szCs w:val="21"/>
                <w:highlight w:val="none"/>
                <w:lang w:eastAsia="zh-CN"/>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6"/>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c>
          <w:tcPr>
            <w:tcW w:w="16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beforeAutospacing="0" w:after="0" w:afterAutospacing="0" w:line="360" w:lineRule="auto"/>
              <w:ind w:left="0" w:leftChars="0"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rPr>
              <w:t>质量安全措施</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beforeAutospacing="0" w:after="0" w:afterAutospacing="0" w:line="360" w:lineRule="auto"/>
              <w:ind w:left="0" w:leftChars="0"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lang w:val="en-US" w:eastAsia="zh-CN"/>
              </w:rPr>
              <w:t>10分</w:t>
            </w:r>
          </w:p>
        </w:tc>
        <w:tc>
          <w:tcPr>
            <w:tcW w:w="546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beforeAutospacing="0" w:after="0" w:afterAutospacing="0" w:line="360" w:lineRule="auto"/>
              <w:ind w:left="0" w:firstLine="420" w:firstLineChars="20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根据投标人对本项目作出的质量、安全措施等进行评</w:t>
            </w:r>
            <w:r>
              <w:rPr>
                <w:rFonts w:hint="eastAsia" w:ascii="宋体" w:hAnsi="宋体" w:eastAsia="宋体" w:cs="宋体"/>
                <w:b w:val="0"/>
                <w:bCs w:val="0"/>
                <w:color w:val="auto"/>
                <w:sz w:val="21"/>
                <w:szCs w:val="21"/>
                <w:highlight w:val="none"/>
                <w:lang w:eastAsia="zh-CN"/>
              </w:rPr>
              <w:t>审</w:t>
            </w:r>
            <w:r>
              <w:rPr>
                <w:rFonts w:hint="eastAsia" w:ascii="宋体" w:hAnsi="宋体" w:eastAsia="宋体" w:cs="宋体"/>
                <w:b w:val="0"/>
                <w:bCs w:val="0"/>
                <w:color w:val="auto"/>
                <w:sz w:val="21"/>
                <w:szCs w:val="21"/>
                <w:highlight w:val="none"/>
              </w:rPr>
              <w:t>：</w:t>
            </w:r>
          </w:p>
          <w:p>
            <w:pPr>
              <w:pStyle w:val="26"/>
              <w:keepNext w:val="0"/>
              <w:keepLines w:val="0"/>
              <w:pageBreakBefore w:val="0"/>
              <w:widowControl/>
              <w:kinsoku/>
              <w:wordWrap/>
              <w:overflowPunct/>
              <w:topLinePunct w:val="0"/>
              <w:autoSpaceDE/>
              <w:autoSpaceDN/>
              <w:bidi w:val="0"/>
              <w:adjustRightInd/>
              <w:spacing w:beforeAutospacing="0" w:after="0" w:afterAutospacing="0" w:line="360" w:lineRule="auto"/>
              <w:ind w:left="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方案内容齐全，方案科学、先进、可行，非常有利项目实施的，得</w:t>
            </w:r>
            <w:r>
              <w:rPr>
                <w:rFonts w:hint="eastAsia" w:ascii="宋体" w:hAnsi="宋体" w:eastAsia="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rPr>
              <w:t>分；</w:t>
            </w:r>
          </w:p>
          <w:p>
            <w:pPr>
              <w:pStyle w:val="26"/>
              <w:keepNext w:val="0"/>
              <w:keepLines w:val="0"/>
              <w:pageBreakBefore w:val="0"/>
              <w:widowControl/>
              <w:kinsoku/>
              <w:wordWrap/>
              <w:overflowPunct/>
              <w:topLinePunct w:val="0"/>
              <w:autoSpaceDE/>
              <w:autoSpaceDN/>
              <w:bidi w:val="0"/>
              <w:adjustRightInd/>
              <w:spacing w:beforeAutospacing="0" w:after="0" w:afterAutospacing="0" w:line="360" w:lineRule="auto"/>
              <w:ind w:left="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内容</w:t>
            </w:r>
            <w:r>
              <w:rPr>
                <w:rFonts w:hint="eastAsia" w:ascii="宋体" w:hAnsi="宋体" w:eastAsia="宋体" w:cs="宋体"/>
                <w:b w:val="0"/>
                <w:bCs w:val="0"/>
                <w:color w:val="auto"/>
                <w:sz w:val="21"/>
                <w:szCs w:val="21"/>
                <w:highlight w:val="none"/>
                <w:lang w:eastAsia="zh-CN"/>
              </w:rPr>
              <w:t>基本</w:t>
            </w:r>
            <w:r>
              <w:rPr>
                <w:rFonts w:hint="eastAsia" w:ascii="宋体" w:hAnsi="宋体" w:eastAsia="宋体" w:cs="宋体"/>
                <w:b w:val="0"/>
                <w:bCs w:val="0"/>
                <w:color w:val="auto"/>
                <w:sz w:val="21"/>
                <w:szCs w:val="21"/>
                <w:highlight w:val="none"/>
              </w:rPr>
              <w:t>齐全，方案</w:t>
            </w:r>
            <w:r>
              <w:rPr>
                <w:rFonts w:hint="eastAsia" w:ascii="宋体" w:hAnsi="宋体" w:eastAsia="宋体" w:cs="宋体"/>
                <w:b w:val="0"/>
                <w:bCs w:val="0"/>
                <w:color w:val="auto"/>
                <w:sz w:val="21"/>
                <w:szCs w:val="21"/>
                <w:highlight w:val="none"/>
                <w:lang w:eastAsia="zh-CN"/>
              </w:rPr>
              <w:t>基本</w:t>
            </w:r>
            <w:r>
              <w:rPr>
                <w:rFonts w:hint="eastAsia" w:ascii="宋体" w:hAnsi="宋体" w:eastAsia="宋体" w:cs="宋体"/>
                <w:b w:val="0"/>
                <w:bCs w:val="0"/>
                <w:color w:val="auto"/>
                <w:sz w:val="21"/>
                <w:szCs w:val="21"/>
                <w:highlight w:val="none"/>
              </w:rPr>
              <w:t>科学、先进、可行，有利</w:t>
            </w:r>
            <w:r>
              <w:rPr>
                <w:rFonts w:hint="eastAsia" w:ascii="宋体" w:hAnsi="宋体" w:eastAsia="宋体" w:cs="宋体"/>
                <w:b w:val="0"/>
                <w:bCs w:val="0"/>
                <w:color w:val="auto"/>
                <w:sz w:val="21"/>
                <w:szCs w:val="21"/>
                <w:highlight w:val="none"/>
                <w:lang w:eastAsia="zh-CN"/>
              </w:rPr>
              <w:t>与</w:t>
            </w:r>
            <w:r>
              <w:rPr>
                <w:rFonts w:hint="eastAsia" w:ascii="宋体" w:hAnsi="宋体" w:eastAsia="宋体" w:cs="宋体"/>
                <w:b w:val="0"/>
                <w:bCs w:val="0"/>
                <w:color w:val="auto"/>
                <w:sz w:val="21"/>
                <w:szCs w:val="21"/>
                <w:highlight w:val="none"/>
              </w:rPr>
              <w:t>项目实施的，得</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分；</w:t>
            </w:r>
          </w:p>
          <w:p>
            <w:pPr>
              <w:pStyle w:val="26"/>
              <w:keepNext w:val="0"/>
              <w:keepLines w:val="0"/>
              <w:pageBreakBefore w:val="0"/>
              <w:widowControl/>
              <w:kinsoku/>
              <w:wordWrap/>
              <w:overflowPunct/>
              <w:topLinePunct w:val="0"/>
              <w:autoSpaceDE/>
              <w:autoSpaceDN/>
              <w:bidi w:val="0"/>
              <w:adjustRightInd/>
              <w:spacing w:beforeAutospacing="0" w:after="0" w:afterAutospacing="0" w:line="360" w:lineRule="auto"/>
              <w:ind w:left="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内容一般齐全、方案可行、一般，部分有利于项目实施的，得</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分；</w:t>
            </w:r>
          </w:p>
          <w:p>
            <w:pPr>
              <w:keepNext w:val="0"/>
              <w:keepLines w:val="0"/>
              <w:pageBreakBefore w:val="0"/>
              <w:widowControl/>
              <w:kinsoku/>
              <w:wordWrap/>
              <w:overflowPunct/>
              <w:topLinePunct w:val="0"/>
              <w:autoSpaceDE/>
              <w:autoSpaceDN/>
              <w:bidi w:val="0"/>
              <w:adjustRightInd/>
              <w:spacing w:beforeAutospacing="0" w:after="0" w:afterAutospacing="0" w:line="360" w:lineRule="auto"/>
              <w:ind w:left="0" w:firstLine="420" w:firstLineChars="20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内容有欠缺或表述的内容不完全符合现场实际，部分有利于项目实施的，得</w:t>
            </w: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分；</w:t>
            </w:r>
          </w:p>
          <w:p>
            <w:pPr>
              <w:pStyle w:val="3"/>
              <w:keepNext w:val="0"/>
              <w:keepLines w:val="0"/>
              <w:pageBreakBefore w:val="0"/>
              <w:widowControl/>
              <w:kinsoku/>
              <w:wordWrap/>
              <w:overflowPunct/>
              <w:topLinePunct w:val="0"/>
              <w:autoSpaceDE/>
              <w:autoSpaceDN/>
              <w:bidi w:val="0"/>
              <w:adjustRightInd/>
              <w:spacing w:before="0" w:beforeAutospacing="0" w:after="0" w:afterAutospacing="0"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b w:val="0"/>
                <w:bCs w:val="0"/>
                <w:color w:val="auto"/>
                <w:sz w:val="21"/>
                <w:szCs w:val="21"/>
                <w:highlight w:val="none"/>
                <w:lang w:eastAsia="zh-CN"/>
              </w:rPr>
              <w:t>未有提供不得分。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6"/>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c>
          <w:tcPr>
            <w:tcW w:w="16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beforeAutospacing="0" w:after="0" w:afterAutospacing="0" w:line="360" w:lineRule="auto"/>
              <w:ind w:left="0" w:leftChars="0"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lang w:eastAsia="zh-CN"/>
              </w:rPr>
              <w:t>安装及验收方案</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beforeAutospacing="0" w:after="0" w:afterAutospacing="0" w:line="360" w:lineRule="auto"/>
              <w:ind w:left="0" w:leftChars="0"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lang w:val="en-US" w:eastAsia="zh-CN"/>
              </w:rPr>
              <w:t>10分</w:t>
            </w:r>
          </w:p>
        </w:tc>
        <w:tc>
          <w:tcPr>
            <w:tcW w:w="546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beforeAutospacing="0" w:after="0" w:afterAutospacing="0" w:line="360" w:lineRule="auto"/>
              <w:ind w:left="0" w:firstLine="420" w:firstLineChars="20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根据安装调试方案、验收方案（验收依据和相关的技术标准；验收的组织形式、程序、注意事项；验收环节和内容）等进行评</w:t>
            </w:r>
            <w:r>
              <w:rPr>
                <w:rFonts w:hint="eastAsia" w:ascii="宋体" w:hAnsi="宋体" w:eastAsia="宋体" w:cs="宋体"/>
                <w:b w:val="0"/>
                <w:bCs w:val="0"/>
                <w:color w:val="auto"/>
                <w:sz w:val="21"/>
                <w:szCs w:val="21"/>
                <w:highlight w:val="none"/>
                <w:lang w:eastAsia="zh-CN"/>
              </w:rPr>
              <w:t>审</w:t>
            </w:r>
            <w:r>
              <w:rPr>
                <w:rFonts w:hint="eastAsia" w:ascii="宋体" w:hAnsi="宋体" w:eastAsia="宋体" w:cs="宋体"/>
                <w:b w:val="0"/>
                <w:bCs w:val="0"/>
                <w:color w:val="auto"/>
                <w:sz w:val="21"/>
                <w:szCs w:val="21"/>
                <w:highlight w:val="none"/>
              </w:rPr>
              <w:t>。</w:t>
            </w:r>
          </w:p>
          <w:p>
            <w:pPr>
              <w:keepNext w:val="0"/>
              <w:keepLines w:val="0"/>
              <w:pageBreakBefore w:val="0"/>
              <w:widowControl/>
              <w:kinsoku/>
              <w:wordWrap/>
              <w:overflowPunct/>
              <w:topLinePunct w:val="0"/>
              <w:autoSpaceDE/>
              <w:autoSpaceDN/>
              <w:bidi w:val="0"/>
              <w:adjustRightInd/>
              <w:spacing w:beforeAutospacing="0" w:after="0" w:afterAutospacing="0" w:line="360" w:lineRule="auto"/>
              <w:ind w:left="0" w:firstLine="420" w:firstLineChars="20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安装调试及验收方案科学完整，售后服务承诺优于文件要求，可操作性强，得</w:t>
            </w:r>
            <w:r>
              <w:rPr>
                <w:rFonts w:hint="eastAsia" w:ascii="宋体" w:hAnsi="宋体" w:eastAsia="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rPr>
              <w:t>分。</w:t>
            </w:r>
          </w:p>
          <w:p>
            <w:pPr>
              <w:keepNext w:val="0"/>
              <w:keepLines w:val="0"/>
              <w:pageBreakBefore w:val="0"/>
              <w:widowControl/>
              <w:kinsoku/>
              <w:wordWrap/>
              <w:overflowPunct/>
              <w:topLinePunct w:val="0"/>
              <w:autoSpaceDE/>
              <w:autoSpaceDN/>
              <w:bidi w:val="0"/>
              <w:adjustRightInd/>
              <w:spacing w:beforeAutospacing="0" w:after="0" w:afterAutospacing="0" w:line="360" w:lineRule="auto"/>
              <w:ind w:left="0" w:firstLine="420" w:firstLineChars="20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安装调试及验收方案完整，售后服务承诺满足文件要求，可操作性</w:t>
            </w:r>
            <w:r>
              <w:rPr>
                <w:rFonts w:hint="eastAsia" w:ascii="宋体" w:hAnsi="宋体" w:eastAsia="宋体" w:cs="宋体"/>
                <w:b w:val="0"/>
                <w:bCs w:val="0"/>
                <w:color w:val="auto"/>
                <w:sz w:val="21"/>
                <w:szCs w:val="21"/>
                <w:highlight w:val="none"/>
                <w:lang w:eastAsia="zh-CN"/>
              </w:rPr>
              <w:t>良</w:t>
            </w:r>
            <w:r>
              <w:rPr>
                <w:rFonts w:hint="eastAsia" w:ascii="宋体" w:hAnsi="宋体" w:eastAsia="宋体" w:cs="宋体"/>
                <w:b w:val="0"/>
                <w:bCs w:val="0"/>
                <w:color w:val="auto"/>
                <w:sz w:val="21"/>
                <w:szCs w:val="21"/>
                <w:highlight w:val="none"/>
              </w:rPr>
              <w:t>，得</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分。</w:t>
            </w:r>
          </w:p>
          <w:p>
            <w:pPr>
              <w:keepNext w:val="0"/>
              <w:keepLines w:val="0"/>
              <w:pageBreakBefore w:val="0"/>
              <w:widowControl/>
              <w:kinsoku/>
              <w:wordWrap/>
              <w:overflowPunct/>
              <w:topLinePunct w:val="0"/>
              <w:autoSpaceDE/>
              <w:autoSpaceDN/>
              <w:bidi w:val="0"/>
              <w:adjustRightInd/>
              <w:spacing w:beforeAutospacing="0" w:after="0" w:afterAutospacing="0" w:line="360" w:lineRule="auto"/>
              <w:ind w:left="0" w:firstLine="420" w:firstLineChars="20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安装调试及验收方案</w:t>
            </w:r>
            <w:r>
              <w:rPr>
                <w:rFonts w:hint="eastAsia" w:ascii="宋体" w:hAnsi="宋体" w:eastAsia="宋体" w:cs="宋体"/>
                <w:b w:val="0"/>
                <w:bCs w:val="0"/>
                <w:color w:val="auto"/>
                <w:sz w:val="21"/>
                <w:szCs w:val="21"/>
                <w:highlight w:val="none"/>
                <w:lang w:eastAsia="zh-CN"/>
              </w:rPr>
              <w:t>一般</w:t>
            </w:r>
            <w:r>
              <w:rPr>
                <w:rFonts w:hint="eastAsia" w:ascii="宋体" w:hAnsi="宋体" w:eastAsia="宋体" w:cs="宋体"/>
                <w:b w:val="0"/>
                <w:bCs w:val="0"/>
                <w:color w:val="auto"/>
                <w:sz w:val="21"/>
                <w:szCs w:val="21"/>
                <w:highlight w:val="none"/>
              </w:rPr>
              <w:t>，售后服务承诺</w:t>
            </w:r>
            <w:r>
              <w:rPr>
                <w:rFonts w:hint="eastAsia" w:ascii="宋体" w:hAnsi="宋体" w:eastAsia="宋体" w:cs="宋体"/>
                <w:b w:val="0"/>
                <w:bCs w:val="0"/>
                <w:color w:val="auto"/>
                <w:sz w:val="21"/>
                <w:szCs w:val="21"/>
                <w:highlight w:val="none"/>
                <w:lang w:eastAsia="zh-CN"/>
              </w:rPr>
              <w:t>基本满足</w:t>
            </w:r>
            <w:r>
              <w:rPr>
                <w:rFonts w:hint="eastAsia" w:ascii="宋体" w:hAnsi="宋体" w:eastAsia="宋体" w:cs="宋体"/>
                <w:b w:val="0"/>
                <w:bCs w:val="0"/>
                <w:color w:val="auto"/>
                <w:sz w:val="21"/>
                <w:szCs w:val="21"/>
                <w:highlight w:val="none"/>
              </w:rPr>
              <w:t>文件要求，</w:t>
            </w:r>
            <w:r>
              <w:rPr>
                <w:rFonts w:hint="eastAsia" w:ascii="宋体" w:hAnsi="宋体" w:eastAsia="宋体" w:cs="宋体"/>
                <w:b w:val="0"/>
                <w:bCs w:val="0"/>
                <w:color w:val="auto"/>
                <w:sz w:val="21"/>
                <w:szCs w:val="21"/>
                <w:highlight w:val="none"/>
                <w:lang w:eastAsia="zh-CN"/>
              </w:rPr>
              <w:t>有基本的</w:t>
            </w:r>
            <w:r>
              <w:rPr>
                <w:rFonts w:hint="eastAsia" w:ascii="宋体" w:hAnsi="宋体" w:eastAsia="宋体" w:cs="宋体"/>
                <w:b w:val="0"/>
                <w:bCs w:val="0"/>
                <w:color w:val="auto"/>
                <w:sz w:val="21"/>
                <w:szCs w:val="21"/>
                <w:highlight w:val="none"/>
              </w:rPr>
              <w:t>可操作性，得</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分。</w:t>
            </w:r>
          </w:p>
          <w:p>
            <w:pPr>
              <w:keepNext w:val="0"/>
              <w:keepLines w:val="0"/>
              <w:pageBreakBefore w:val="0"/>
              <w:widowControl/>
              <w:kinsoku/>
              <w:wordWrap/>
              <w:overflowPunct/>
              <w:topLinePunct w:val="0"/>
              <w:autoSpaceDE/>
              <w:autoSpaceDN/>
              <w:bidi w:val="0"/>
              <w:adjustRightInd/>
              <w:spacing w:beforeAutospacing="0" w:after="0" w:afterAutospacing="0" w:line="360" w:lineRule="auto"/>
              <w:ind w:left="0" w:firstLine="420" w:firstLineChars="20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安装调试及验收方案不完整，售后服务承诺不能满足招标文件要求，可操作性差，得1分。</w:t>
            </w:r>
          </w:p>
          <w:p>
            <w:pPr>
              <w:keepNext w:val="0"/>
              <w:keepLines w:val="0"/>
              <w:pageBreakBefore w:val="0"/>
              <w:widowControl/>
              <w:kinsoku/>
              <w:wordWrap/>
              <w:overflowPunct/>
              <w:topLinePunct w:val="0"/>
              <w:autoSpaceDE/>
              <w:autoSpaceDN/>
              <w:bidi w:val="0"/>
              <w:adjustRightInd/>
              <w:spacing w:beforeAutospacing="0" w:after="0" w:afterAutospacing="0" w:line="360" w:lineRule="auto"/>
              <w:ind w:left="0" w:leftChars="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b w:val="0"/>
                <w:bCs w:val="0"/>
                <w:color w:val="auto"/>
                <w:sz w:val="21"/>
                <w:szCs w:val="21"/>
                <w:highlight w:val="none"/>
                <w:lang w:eastAsia="zh-CN"/>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6"/>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w:t>
            </w:r>
          </w:p>
        </w:tc>
        <w:tc>
          <w:tcPr>
            <w:tcW w:w="16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beforeAutospacing="0" w:after="0" w:afterAutospacing="0" w:line="360" w:lineRule="auto"/>
              <w:ind w:left="0" w:lef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rPr>
              <w:t>售后服务方案</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beforeAutospacing="0" w:after="0" w:afterAutospacing="0" w:line="36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10分</w:t>
            </w:r>
          </w:p>
        </w:tc>
        <w:tc>
          <w:tcPr>
            <w:tcW w:w="546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beforeAutospacing="0" w:after="0" w:afterAutospacing="0" w:line="360" w:lineRule="auto"/>
              <w:ind w:left="0" w:leftChars="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售后服务方案非常合理、可行性强、完整性好，得</w:t>
            </w: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分；</w:t>
            </w:r>
          </w:p>
          <w:p>
            <w:pPr>
              <w:keepNext w:val="0"/>
              <w:keepLines w:val="0"/>
              <w:pageBreakBefore w:val="0"/>
              <w:widowControl/>
              <w:kinsoku/>
              <w:wordWrap/>
              <w:overflowPunct/>
              <w:topLinePunct w:val="0"/>
              <w:autoSpaceDE/>
              <w:autoSpaceDN/>
              <w:bidi w:val="0"/>
              <w:adjustRightInd/>
              <w:spacing w:beforeAutospacing="0" w:after="0" w:afterAutospacing="0" w:line="360" w:lineRule="auto"/>
              <w:ind w:left="0" w:leftChars="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方案合理、可行性较强、完整性较好，得</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分；</w:t>
            </w:r>
          </w:p>
          <w:p>
            <w:pPr>
              <w:keepNext w:val="0"/>
              <w:keepLines w:val="0"/>
              <w:pageBreakBefore w:val="0"/>
              <w:widowControl/>
              <w:kinsoku/>
              <w:wordWrap/>
              <w:overflowPunct/>
              <w:topLinePunct w:val="0"/>
              <w:autoSpaceDE/>
              <w:autoSpaceDN/>
              <w:bidi w:val="0"/>
              <w:adjustRightInd/>
              <w:spacing w:beforeAutospacing="0" w:after="0" w:afterAutospacing="0" w:line="360" w:lineRule="auto"/>
              <w:ind w:left="0" w:leftChars="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方案</w:t>
            </w:r>
            <w:r>
              <w:rPr>
                <w:rFonts w:hint="eastAsia" w:ascii="宋体" w:hAnsi="宋体" w:eastAsia="宋体" w:cs="宋体"/>
                <w:color w:val="auto"/>
                <w:sz w:val="21"/>
                <w:szCs w:val="21"/>
                <w:lang w:eastAsia="zh-CN"/>
              </w:rPr>
              <w:t>一般</w:t>
            </w:r>
            <w:r>
              <w:rPr>
                <w:rFonts w:hint="eastAsia" w:ascii="宋体" w:hAnsi="宋体" w:eastAsia="宋体" w:cs="宋体"/>
                <w:color w:val="auto"/>
                <w:sz w:val="21"/>
                <w:szCs w:val="21"/>
              </w:rPr>
              <w:t>、可行性</w:t>
            </w:r>
            <w:r>
              <w:rPr>
                <w:rFonts w:hint="eastAsia" w:ascii="宋体" w:hAnsi="宋体" w:eastAsia="宋体" w:cs="宋体"/>
                <w:color w:val="auto"/>
                <w:sz w:val="21"/>
                <w:szCs w:val="21"/>
                <w:lang w:eastAsia="zh-CN"/>
              </w:rPr>
              <w:t>一般</w:t>
            </w:r>
            <w:r>
              <w:rPr>
                <w:rFonts w:hint="eastAsia" w:ascii="宋体" w:hAnsi="宋体" w:eastAsia="宋体" w:cs="宋体"/>
                <w:color w:val="auto"/>
                <w:sz w:val="21"/>
                <w:szCs w:val="21"/>
              </w:rPr>
              <w:t>、完整性</w:t>
            </w:r>
            <w:r>
              <w:rPr>
                <w:rFonts w:hint="eastAsia" w:ascii="宋体" w:hAnsi="宋体" w:eastAsia="宋体" w:cs="宋体"/>
                <w:color w:val="auto"/>
                <w:sz w:val="21"/>
                <w:szCs w:val="21"/>
                <w:lang w:eastAsia="zh-CN"/>
              </w:rPr>
              <w:t>一般</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分；</w:t>
            </w:r>
          </w:p>
          <w:p>
            <w:pPr>
              <w:keepNext w:val="0"/>
              <w:keepLines w:val="0"/>
              <w:pageBreakBefore w:val="0"/>
              <w:widowControl/>
              <w:kinsoku/>
              <w:wordWrap/>
              <w:overflowPunct/>
              <w:topLinePunct w:val="0"/>
              <w:autoSpaceDE/>
              <w:autoSpaceDN/>
              <w:bidi w:val="0"/>
              <w:adjustRightInd/>
              <w:spacing w:beforeAutospacing="0" w:after="0" w:afterAutospacing="0" w:line="360" w:lineRule="auto"/>
              <w:ind w:left="418" w:leftChars="190" w:firstLine="0" w:firstLineChars="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方案欠合理、可性强不高、</w:t>
            </w:r>
            <w:r>
              <w:rPr>
                <w:rFonts w:hint="eastAsia" w:ascii="宋体" w:hAnsi="宋体" w:eastAsia="宋体" w:cs="宋体"/>
                <w:color w:val="auto"/>
                <w:sz w:val="21"/>
                <w:szCs w:val="21"/>
                <w:lang w:eastAsia="zh-CN"/>
              </w:rPr>
              <w:t>有缺漏项</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分；</w:t>
            </w:r>
          </w:p>
          <w:p>
            <w:pPr>
              <w:keepNext w:val="0"/>
              <w:keepLines w:val="0"/>
              <w:pageBreakBefore w:val="0"/>
              <w:widowControl/>
              <w:kinsoku/>
              <w:wordWrap/>
              <w:overflowPunct/>
              <w:topLinePunct w:val="0"/>
              <w:autoSpaceDE/>
              <w:autoSpaceDN/>
              <w:bidi w:val="0"/>
              <w:adjustRightInd/>
              <w:spacing w:beforeAutospacing="0" w:after="0" w:afterAutospacing="0" w:line="360" w:lineRule="auto"/>
              <w:ind w:left="418" w:leftChars="190" w:firstLine="0" w:firstLineChars="0"/>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color w:val="auto"/>
                <w:sz w:val="21"/>
                <w:szCs w:val="21"/>
              </w:rPr>
              <w:t>没有提供方案，得0分。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907"/>
              </w:tabs>
              <w:kinsoku/>
              <w:wordWrap/>
              <w:overflowPunct/>
              <w:topLinePunct w:val="0"/>
              <w:autoSpaceDE/>
              <w:autoSpaceDN/>
              <w:bidi w:val="0"/>
              <w:adjustRightInd/>
              <w:snapToGrid/>
              <w:spacing w:after="0" w:line="360" w:lineRule="auto"/>
              <w:ind w:firstLine="422" w:firstLineChars="200"/>
              <w:jc w:val="both"/>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注：</w:t>
            </w:r>
          </w:p>
          <w:p>
            <w:pPr>
              <w:keepNext w:val="0"/>
              <w:keepLines w:val="0"/>
              <w:pageBreakBefore w:val="0"/>
              <w:widowControl w:val="0"/>
              <w:tabs>
                <w:tab w:val="left" w:pos="907"/>
              </w:tabs>
              <w:kinsoku/>
              <w:wordWrap/>
              <w:overflowPunct/>
              <w:topLinePunct w:val="0"/>
              <w:autoSpaceDE/>
              <w:autoSpaceDN/>
              <w:bidi w:val="0"/>
              <w:adjustRightInd/>
              <w:snapToGrid/>
              <w:spacing w:after="0" w:line="360" w:lineRule="auto"/>
              <w:ind w:firstLine="422" w:firstLineChars="200"/>
              <w:jc w:val="both"/>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（1）无特殊说明外，以上评审项，同一证明文件不重复计分。</w:t>
            </w:r>
          </w:p>
          <w:p>
            <w:pPr>
              <w:pStyle w:val="23"/>
              <w:keepNext w:val="0"/>
              <w:keepLines w:val="0"/>
              <w:pageBreakBefore w:val="0"/>
              <w:widowControl w:val="0"/>
              <w:tabs>
                <w:tab w:val="left" w:pos="907"/>
              </w:tabs>
              <w:kinsoku/>
              <w:wordWrap/>
              <w:overflowPunct/>
              <w:topLinePunct w:val="0"/>
              <w:autoSpaceDE/>
              <w:autoSpaceDN/>
              <w:bidi w:val="0"/>
              <w:adjustRightInd/>
              <w:snapToGrid/>
              <w:spacing w:after="0" w:line="360" w:lineRule="auto"/>
              <w:ind w:firstLine="422"/>
              <w:jc w:val="both"/>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（2）投标人根据以上评分要求提供的</w:t>
            </w:r>
            <w:r>
              <w:rPr>
                <w:rFonts w:hint="eastAsia" w:ascii="宋体" w:hAnsi="宋体" w:eastAsia="宋体" w:cs="宋体"/>
                <w:b/>
                <w:color w:val="auto"/>
                <w:sz w:val="21"/>
                <w:szCs w:val="21"/>
                <w:lang w:eastAsia="zh-CN"/>
              </w:rPr>
              <w:t>投标材料</w:t>
            </w:r>
            <w:r>
              <w:rPr>
                <w:rFonts w:hint="eastAsia" w:ascii="宋体" w:hAnsi="宋体" w:eastAsia="宋体" w:cs="宋体"/>
                <w:b/>
                <w:color w:val="auto"/>
                <w:sz w:val="21"/>
                <w:szCs w:val="21"/>
              </w:rPr>
              <w:t>因模糊不清导致评标委员会无法清晰辨认进行评审的，</w:t>
            </w:r>
            <w:r>
              <w:rPr>
                <w:rFonts w:hint="eastAsia" w:ascii="宋体" w:hAnsi="宋体" w:eastAsia="宋体" w:cs="宋体"/>
                <w:b/>
                <w:color w:val="auto"/>
                <w:sz w:val="21"/>
                <w:szCs w:val="21"/>
                <w:lang w:eastAsia="zh-CN"/>
              </w:rPr>
              <w:t>视为无效材料</w:t>
            </w:r>
            <w:r>
              <w:rPr>
                <w:rFonts w:hint="eastAsia" w:ascii="宋体" w:hAnsi="宋体" w:eastAsia="宋体" w:cs="宋体"/>
                <w:b/>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pPr>
              <w:pStyle w:val="26"/>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rPr>
              <w:t>价格评审</w:t>
            </w:r>
            <w:r>
              <w:rPr>
                <w:rFonts w:hint="eastAsia" w:ascii="宋体" w:hAnsi="宋体" w:eastAsia="宋体" w:cs="宋体"/>
                <w:color w:val="auto"/>
                <w:sz w:val="21"/>
                <w:szCs w:val="21"/>
                <w:lang w:eastAsia="zh-CN"/>
              </w:rPr>
              <w:t>（满分</w:t>
            </w:r>
            <w:r>
              <w:rPr>
                <w:rFonts w:hint="eastAsia" w:ascii="宋体" w:hAnsi="宋体" w:eastAsia="宋体" w:cs="宋体"/>
                <w:color w:val="auto"/>
                <w:sz w:val="21"/>
                <w:szCs w:val="21"/>
                <w:lang w:val="en-US" w:eastAsia="zh-CN"/>
              </w:rPr>
              <w:t>30</w:t>
            </w:r>
            <w:r>
              <w:rPr>
                <w:rFonts w:hint="eastAsia" w:ascii="宋体" w:hAnsi="宋体" w:eastAsia="宋体" w:cs="宋体"/>
                <w:color w:val="auto"/>
                <w:sz w:val="21"/>
                <w:szCs w:val="21"/>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6"/>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w:t>
            </w:r>
          </w:p>
        </w:tc>
        <w:tc>
          <w:tcPr>
            <w:tcW w:w="7832"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907"/>
              </w:tabs>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价格分计算方法：满足招标文件要求且投标价格最低的投标报价为评标基准价，其价格分为满分。其他投标人的价格分统一按照下列公式计算：</w:t>
            </w:r>
          </w:p>
          <w:p>
            <w:pPr>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投标报价得分=(评标基准价／投标报价)×价格权值（30）×100</w:t>
            </w:r>
          </w:p>
        </w:tc>
      </w:tr>
    </w:tbl>
    <w:p>
      <w:pPr>
        <w:bidi w:val="0"/>
        <w:rPr>
          <w:rFonts w:hint="eastAsia" w:ascii="宋体" w:hAnsi="宋体" w:eastAsia="宋体" w:cs="宋体"/>
          <w:color w:val="auto"/>
        </w:rPr>
      </w:pPr>
      <w:r>
        <w:rPr>
          <w:rFonts w:hint="eastAsia" w:ascii="宋体" w:hAnsi="宋体" w:eastAsia="宋体" w:cs="宋体"/>
          <w:color w:val="auto"/>
        </w:rPr>
        <w:br w:type="page"/>
      </w:r>
    </w:p>
    <w:p>
      <w:pPr>
        <w:pStyle w:val="3"/>
        <w:spacing w:before="0" w:after="0" w:line="240" w:lineRule="auto"/>
        <w:rPr>
          <w:rFonts w:hint="eastAsia" w:ascii="宋体" w:hAnsi="宋体" w:eastAsia="宋体" w:cs="宋体"/>
          <w:color w:val="auto"/>
          <w:sz w:val="36"/>
          <w:szCs w:val="36"/>
        </w:rPr>
      </w:pPr>
      <w:bookmarkStart w:id="4" w:name="_Toc23932"/>
      <w:r>
        <w:rPr>
          <w:rFonts w:hint="eastAsia" w:ascii="宋体" w:hAnsi="宋体" w:eastAsia="宋体" w:cs="宋体"/>
          <w:color w:val="auto"/>
          <w:sz w:val="28"/>
          <w:szCs w:val="28"/>
        </w:rPr>
        <w:t>第三部分 用户需求书</w:t>
      </w:r>
      <w:bookmarkEnd w:id="4"/>
    </w:p>
    <w:p>
      <w:pPr>
        <w:pStyle w:val="4"/>
        <w:spacing w:before="0" w:after="0" w:line="240" w:lineRule="auto"/>
        <w:jc w:val="center"/>
        <w:rPr>
          <w:rFonts w:hint="eastAsia" w:ascii="宋体" w:hAnsi="宋体" w:eastAsia="宋体" w:cs="宋体"/>
          <w:color w:val="auto"/>
          <w:sz w:val="24"/>
          <w:szCs w:val="24"/>
        </w:rPr>
      </w:pPr>
      <w:bookmarkStart w:id="5" w:name="_Toc3182"/>
      <w:r>
        <w:rPr>
          <w:rFonts w:hint="eastAsia" w:ascii="宋体" w:hAnsi="宋体" w:eastAsia="宋体" w:cs="宋体"/>
          <w:color w:val="auto"/>
          <w:sz w:val="24"/>
          <w:szCs w:val="24"/>
        </w:rPr>
        <w:t>用户需求明细</w:t>
      </w:r>
      <w:bookmarkEnd w:id="5"/>
    </w:p>
    <w:p>
      <w:pPr>
        <w:spacing w:after="0"/>
        <w:jc w:val="both"/>
        <w:rPr>
          <w:rFonts w:hint="eastAsia" w:ascii="宋体" w:hAnsi="宋体" w:eastAsia="宋体" w:cs="宋体"/>
          <w:b/>
          <w:color w:val="auto"/>
          <w:sz w:val="24"/>
        </w:rPr>
      </w:pPr>
    </w:p>
    <w:p>
      <w:pPr>
        <w:pStyle w:val="23"/>
        <w:numPr>
          <w:ilvl w:val="0"/>
          <w:numId w:val="1"/>
        </w:numPr>
        <w:spacing w:after="0" w:line="360" w:lineRule="auto"/>
        <w:ind w:left="0" w:firstLine="0" w:firstLineChars="0"/>
        <w:rPr>
          <w:rFonts w:hint="eastAsia" w:ascii="宋体" w:hAnsi="宋体" w:eastAsia="宋体" w:cs="宋体"/>
          <w:b/>
          <w:color w:val="auto"/>
          <w:sz w:val="24"/>
          <w:highlight w:val="none"/>
        </w:rPr>
      </w:pPr>
      <w:bookmarkStart w:id="6" w:name="_Toc14462"/>
      <w:bookmarkStart w:id="7" w:name="_Toc24679"/>
      <w:bookmarkStart w:id="8" w:name="_Toc13112"/>
      <w:bookmarkStart w:id="9" w:name="_Toc31278"/>
      <w:r>
        <w:rPr>
          <w:rFonts w:hint="eastAsia" w:ascii="宋体" w:hAnsi="宋体" w:eastAsia="宋体" w:cs="宋体"/>
          <w:b/>
          <w:color w:val="auto"/>
          <w:sz w:val="24"/>
          <w:highlight w:val="none"/>
          <w:lang w:eastAsia="zh-CN"/>
        </w:rPr>
        <w:t>采购清单</w:t>
      </w:r>
    </w:p>
    <w:tbl>
      <w:tblPr>
        <w:tblStyle w:val="16"/>
        <w:tblW w:w="5770" w:type="pct"/>
        <w:tblInd w:w="-427" w:type="dxa"/>
        <w:shd w:val="clear" w:color="auto" w:fill="auto"/>
        <w:tblLayout w:type="fixed"/>
        <w:tblCellMar>
          <w:top w:w="0" w:type="dxa"/>
          <w:left w:w="0" w:type="dxa"/>
          <w:bottom w:w="0" w:type="dxa"/>
          <w:right w:w="0" w:type="dxa"/>
        </w:tblCellMar>
      </w:tblPr>
      <w:tblGrid>
        <w:gridCol w:w="557"/>
        <w:gridCol w:w="1093"/>
        <w:gridCol w:w="514"/>
        <w:gridCol w:w="514"/>
        <w:gridCol w:w="4949"/>
        <w:gridCol w:w="1993"/>
      </w:tblGrid>
      <w:tr>
        <w:tblPrEx>
          <w:shd w:val="clear" w:color="auto" w:fill="auto"/>
          <w:tblCellMar>
            <w:top w:w="0" w:type="dxa"/>
            <w:left w:w="0" w:type="dxa"/>
            <w:bottom w:w="0" w:type="dxa"/>
            <w:right w:w="0" w:type="dxa"/>
          </w:tblCellMar>
        </w:tblPrEx>
        <w:trPr>
          <w:trHeight w:val="48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序号</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货品名称</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数量</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单位</w:t>
            </w:r>
          </w:p>
        </w:tc>
        <w:tc>
          <w:tcPr>
            <w:tcW w:w="25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备注</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附图（仅供参考）</w:t>
            </w:r>
          </w:p>
        </w:tc>
      </w:tr>
      <w:tr>
        <w:tblPrEx>
          <w:tblCellMar>
            <w:top w:w="0" w:type="dxa"/>
            <w:left w:w="0" w:type="dxa"/>
            <w:bottom w:w="0" w:type="dxa"/>
            <w:right w:w="0" w:type="dxa"/>
          </w:tblCellMar>
        </w:tblPrEx>
        <w:trPr>
          <w:trHeight w:val="1662"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304#不锈钢三层送餐车</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台</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规格：800*600*800</w:t>
            </w:r>
          </w:p>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 xml:space="preserve">用料说明：不锈钢304#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层板采用304#1.2mm不锈钢板，激光切割整体折弯焊接而成；</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推手采用304#DN38不锈钢圆通制作而成， 配静音中型活动脚轮；包含设备的安装、运输费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169545</wp:posOffset>
                  </wp:positionH>
                  <wp:positionV relativeFrom="paragraph">
                    <wp:posOffset>100330</wp:posOffset>
                  </wp:positionV>
                  <wp:extent cx="921385" cy="879475"/>
                  <wp:effectExtent l="0" t="0" r="12065" b="15875"/>
                  <wp:wrapNone/>
                  <wp:docPr id="11" name="图片_13"/>
                  <wp:cNvGraphicFramePr/>
                  <a:graphic xmlns:a="http://schemas.openxmlformats.org/drawingml/2006/main">
                    <a:graphicData uri="http://schemas.openxmlformats.org/drawingml/2006/picture">
                      <pic:pic xmlns:pic="http://schemas.openxmlformats.org/drawingml/2006/picture">
                        <pic:nvPicPr>
                          <pic:cNvPr id="11" name="图片_13"/>
                          <pic:cNvPicPr/>
                        </pic:nvPicPr>
                        <pic:blipFill>
                          <a:blip r:embed="rId8"/>
                          <a:stretch>
                            <a:fillRect/>
                          </a:stretch>
                        </pic:blipFill>
                        <pic:spPr>
                          <a:xfrm>
                            <a:off x="0" y="0"/>
                            <a:ext cx="921385" cy="87947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202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304#不锈钢食品级有盖餐盘</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1000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规格：23CM*33CM   用料说明：304#材质，盖标有304食品级，</w:t>
            </w:r>
          </w:p>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产品通过“GB/T11170-2008《不锈钢多元素含量的测定火花放电原子发射光谱法（常规法）》   GB/T3280-2015《不锈钢冷轧钢板和钢带》”。</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产品通过GB/T29601-2013《不锈钢器皿》     GB 4806.9-2016《食品安全国家标准 食品接触用金属材料及制品》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88900</wp:posOffset>
                  </wp:positionH>
                  <wp:positionV relativeFrom="paragraph">
                    <wp:posOffset>252095</wp:posOffset>
                  </wp:positionV>
                  <wp:extent cx="975360" cy="699135"/>
                  <wp:effectExtent l="0" t="0" r="15240" b="5715"/>
                  <wp:wrapNone/>
                  <wp:docPr id="15" name="图片_14"/>
                  <wp:cNvGraphicFramePr/>
                  <a:graphic xmlns:a="http://schemas.openxmlformats.org/drawingml/2006/main">
                    <a:graphicData uri="http://schemas.openxmlformats.org/drawingml/2006/picture">
                      <pic:pic xmlns:pic="http://schemas.openxmlformats.org/drawingml/2006/picture">
                        <pic:nvPicPr>
                          <pic:cNvPr id="15" name="图片_14"/>
                          <pic:cNvPicPr/>
                        </pic:nvPicPr>
                        <pic:blipFill>
                          <a:blip r:embed="rId9"/>
                          <a:stretch>
                            <a:fillRect/>
                          </a:stretch>
                        </pic:blipFill>
                        <pic:spPr>
                          <a:xfrm>
                            <a:off x="0" y="0"/>
                            <a:ext cx="975360" cy="69913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533"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304#不锈钢食品级有盖餐盘配套汤碗</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1000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用料说明：不锈钢304#</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产品通过GB/T29601-2013《不锈钢器皿》     GB 4806.9-2016《食品安全国家标准 食品接触用金属材料及制品》提供由检测机构出具的合格测试报告扫描件，包含运输费、人工费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86360</wp:posOffset>
                  </wp:positionH>
                  <wp:positionV relativeFrom="paragraph">
                    <wp:posOffset>313055</wp:posOffset>
                  </wp:positionV>
                  <wp:extent cx="946785" cy="569595"/>
                  <wp:effectExtent l="0" t="0" r="5715" b="1905"/>
                  <wp:wrapNone/>
                  <wp:docPr id="13" name="图片_21"/>
                  <wp:cNvGraphicFramePr/>
                  <a:graphic xmlns:a="http://schemas.openxmlformats.org/drawingml/2006/main">
                    <a:graphicData uri="http://schemas.openxmlformats.org/drawingml/2006/picture">
                      <pic:pic xmlns:pic="http://schemas.openxmlformats.org/drawingml/2006/picture">
                        <pic:nvPicPr>
                          <pic:cNvPr id="13" name="图片_21"/>
                          <pic:cNvPicPr/>
                        </pic:nvPicPr>
                        <pic:blipFill>
                          <a:blip r:embed="rId10"/>
                          <a:stretch>
                            <a:fillRect/>
                          </a:stretch>
                        </pic:blipFill>
                        <pic:spPr>
                          <a:xfrm>
                            <a:off x="0" y="0"/>
                            <a:ext cx="946785" cy="56959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99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304#不锈钢食品级有盖餐盘配套汤匙</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1000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用料说明：304#材质，盖标有304食品级，</w:t>
            </w:r>
          </w:p>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产品通过“GB/T11170-2008《不锈钢多元素含量的测定火花放电原子发射光谱法（常规法）》   GB/T3280-2015《不锈钢冷轧钢板和钢带》”</w:t>
            </w:r>
          </w:p>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产品通过GB/T29601-2013《不锈钢器皿》     GB 4806.9-2016《食品安全国家标准 食品接触用金属材料及制品》包含运输费、人工费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48895</wp:posOffset>
                  </wp:positionH>
                  <wp:positionV relativeFrom="paragraph">
                    <wp:posOffset>297180</wp:posOffset>
                  </wp:positionV>
                  <wp:extent cx="1007110" cy="492760"/>
                  <wp:effectExtent l="0" t="0" r="2540" b="2540"/>
                  <wp:wrapNone/>
                  <wp:docPr id="14" name="图片_16"/>
                  <wp:cNvGraphicFramePr/>
                  <a:graphic xmlns:a="http://schemas.openxmlformats.org/drawingml/2006/main">
                    <a:graphicData uri="http://schemas.openxmlformats.org/drawingml/2006/picture">
                      <pic:pic xmlns:pic="http://schemas.openxmlformats.org/drawingml/2006/picture">
                        <pic:nvPicPr>
                          <pic:cNvPr id="14" name="图片_16"/>
                          <pic:cNvPicPr/>
                        </pic:nvPicPr>
                        <pic:blipFill>
                          <a:blip r:embed="rId11"/>
                          <a:stretch>
                            <a:fillRect/>
                          </a:stretch>
                        </pic:blipFill>
                        <pic:spPr>
                          <a:xfrm>
                            <a:off x="0" y="0"/>
                            <a:ext cx="1007110" cy="49276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201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304#不锈钢食品级有盖餐盘配套筷子</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1000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用料说明：304#材质，304食品级，</w:t>
            </w:r>
          </w:p>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产品通过“GB/T11170-2008《不锈钢多元素含量的测定火花放电原子发射光谱法（常规法）》   GB/T3280-2015《不锈钢冷轧钢板和钢带》”</w:t>
            </w:r>
          </w:p>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产品通过GB/T29601-2013《不锈钢器皿》     GB 4806.9-2016《食品安全国家标准 食品接触用金属材料及制品》包含运输费、人工费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26670</wp:posOffset>
                  </wp:positionH>
                  <wp:positionV relativeFrom="paragraph">
                    <wp:posOffset>389890</wp:posOffset>
                  </wp:positionV>
                  <wp:extent cx="1084580" cy="241935"/>
                  <wp:effectExtent l="0" t="0" r="1270" b="5715"/>
                  <wp:wrapNone/>
                  <wp:docPr id="12" name="图片_15"/>
                  <wp:cNvGraphicFramePr/>
                  <a:graphic xmlns:a="http://schemas.openxmlformats.org/drawingml/2006/main">
                    <a:graphicData uri="http://schemas.openxmlformats.org/drawingml/2006/picture">
                      <pic:pic xmlns:pic="http://schemas.openxmlformats.org/drawingml/2006/picture">
                        <pic:nvPicPr>
                          <pic:cNvPr id="12" name="图片_15"/>
                          <pic:cNvPicPr/>
                        </pic:nvPicPr>
                        <pic:blipFill>
                          <a:blip r:embed="rId12"/>
                          <a:stretch>
                            <a:fillRect/>
                          </a:stretch>
                        </pic:blipFill>
                        <pic:spPr>
                          <a:xfrm>
                            <a:off x="0" y="0"/>
                            <a:ext cx="1084580" cy="24193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219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color w:val="auto"/>
                <w:sz w:val="21"/>
                <w:szCs w:val="21"/>
              </w:rPr>
              <w:t>●</w:t>
            </w:r>
            <w:r>
              <w:rPr>
                <w:rFonts w:hint="eastAsia" w:ascii="宋体" w:hAnsi="宋体" w:eastAsia="宋体" w:cs="宋体"/>
                <w:i w:val="0"/>
                <w:color w:val="auto"/>
                <w:kern w:val="0"/>
                <w:sz w:val="21"/>
                <w:szCs w:val="21"/>
                <w:u w:val="none"/>
                <w:lang w:val="en-US" w:eastAsia="zh-CN" w:bidi="ar"/>
              </w:rPr>
              <w:t>304#不锈钢食品级无盖餐盘</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2000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用料说明：不锈钢304#                                产品通过“GB/T29601-2013《不锈钢器皿》   GB4806.9-2016《食品安全国家标准  食品接触用金属材料及制品》   GB/T3280-2015《不锈钢冷轧钢板和钢带》”</w:t>
            </w:r>
          </w:p>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产品通过GB/T29601-2013《不锈钢器皿》     GB 4806.9-2016《食品安全国家标准 食品接触用金属材料及制品》提供由检测机构出具的合格测试报告扫描件，包含运输费、人工费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46355</wp:posOffset>
                  </wp:positionH>
                  <wp:positionV relativeFrom="paragraph">
                    <wp:posOffset>306705</wp:posOffset>
                  </wp:positionV>
                  <wp:extent cx="1015365" cy="685800"/>
                  <wp:effectExtent l="0" t="0" r="13335" b="0"/>
                  <wp:wrapNone/>
                  <wp:docPr id="6" name="图片_1"/>
                  <wp:cNvGraphicFramePr/>
                  <a:graphic xmlns:a="http://schemas.openxmlformats.org/drawingml/2006/main">
                    <a:graphicData uri="http://schemas.openxmlformats.org/drawingml/2006/picture">
                      <pic:pic xmlns:pic="http://schemas.openxmlformats.org/drawingml/2006/picture">
                        <pic:nvPicPr>
                          <pic:cNvPr id="6" name="图片_1"/>
                          <pic:cNvPicPr/>
                        </pic:nvPicPr>
                        <pic:blipFill>
                          <a:blip r:embed="rId13"/>
                          <a:stretch>
                            <a:fillRect/>
                          </a:stretch>
                        </pic:blipFill>
                        <pic:spPr>
                          <a:xfrm>
                            <a:off x="0" y="0"/>
                            <a:ext cx="1015365" cy="68580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225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304#不锈钢食品级双层汤碗</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2500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 xml:space="preserve">用料说明：不锈钢304#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※采用双层不锈钢隔热防烫手</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产品通过“GB/T29601-2013《不锈钢器皿》   GB4806.9-2016《食品安全国家标准  食品接触用金属材料及制品》   GB/T3280-2015《不锈钢冷轧钢板和钢带》”</w:t>
            </w:r>
          </w:p>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产品通过GB/T29601-2013《不锈钢器皿》     GB 4806.9-2016《食品安全国家标准 食品接触用金属材料及制品》包含运输费，人工费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161925</wp:posOffset>
                  </wp:positionH>
                  <wp:positionV relativeFrom="paragraph">
                    <wp:posOffset>482600</wp:posOffset>
                  </wp:positionV>
                  <wp:extent cx="815975" cy="563880"/>
                  <wp:effectExtent l="0" t="0" r="3175" b="7620"/>
                  <wp:wrapNone/>
                  <wp:docPr id="4" name="图片_4"/>
                  <wp:cNvGraphicFramePr/>
                  <a:graphic xmlns:a="http://schemas.openxmlformats.org/drawingml/2006/main">
                    <a:graphicData uri="http://schemas.openxmlformats.org/drawingml/2006/picture">
                      <pic:pic xmlns:pic="http://schemas.openxmlformats.org/drawingml/2006/picture">
                        <pic:nvPicPr>
                          <pic:cNvPr id="4" name="图片_4"/>
                          <pic:cNvPicPr/>
                        </pic:nvPicPr>
                        <pic:blipFill>
                          <a:blip r:embed="rId14"/>
                          <a:stretch>
                            <a:fillRect/>
                          </a:stretch>
                        </pic:blipFill>
                        <pic:spPr>
                          <a:xfrm>
                            <a:off x="0" y="0"/>
                            <a:ext cx="815975" cy="56388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80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304#不锈钢份数盘</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150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采用304#1.0mm不锈钢板冲压而成，外观处理：电解</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采用电解抛光，耐腐蚀，干净易清洗，精心打磨，防刮手。</w:t>
            </w:r>
          </w:p>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规格尺寸：535*330*6.5cm   1100g</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133985</wp:posOffset>
                  </wp:positionH>
                  <wp:positionV relativeFrom="paragraph">
                    <wp:posOffset>207645</wp:posOffset>
                  </wp:positionV>
                  <wp:extent cx="854075" cy="518160"/>
                  <wp:effectExtent l="0" t="0" r="3175" b="15240"/>
                  <wp:wrapNone/>
                  <wp:docPr id="10" name="图片_32"/>
                  <wp:cNvGraphicFramePr/>
                  <a:graphic xmlns:a="http://schemas.openxmlformats.org/drawingml/2006/main">
                    <a:graphicData uri="http://schemas.openxmlformats.org/drawingml/2006/picture">
                      <pic:pic xmlns:pic="http://schemas.openxmlformats.org/drawingml/2006/picture">
                        <pic:nvPicPr>
                          <pic:cNvPr id="10" name="图片_32"/>
                          <pic:cNvPicPr/>
                        </pic:nvPicPr>
                        <pic:blipFill>
                          <a:blip r:embed="rId15"/>
                          <a:stretch>
                            <a:fillRect/>
                          </a:stretch>
                        </pic:blipFill>
                        <pic:spPr>
                          <a:xfrm>
                            <a:off x="0" y="0"/>
                            <a:ext cx="854075" cy="51816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396"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9</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304#不锈钢蒸饭盘</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150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采用304#1.0mm不锈钢板冲压而成，</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重量：2600g</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采用电解抛光，耐腐蚀，干净易清洗，精心打磨，防刮手。包含人工费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127635</wp:posOffset>
                  </wp:positionH>
                  <wp:positionV relativeFrom="paragraph">
                    <wp:posOffset>48895</wp:posOffset>
                  </wp:positionV>
                  <wp:extent cx="874395" cy="488950"/>
                  <wp:effectExtent l="0" t="0" r="1905" b="6350"/>
                  <wp:wrapNone/>
                  <wp:docPr id="9" name="图片_33"/>
                  <wp:cNvGraphicFramePr/>
                  <a:graphic xmlns:a="http://schemas.openxmlformats.org/drawingml/2006/main">
                    <a:graphicData uri="http://schemas.openxmlformats.org/drawingml/2006/picture">
                      <pic:pic xmlns:pic="http://schemas.openxmlformats.org/drawingml/2006/picture">
                        <pic:nvPicPr>
                          <pic:cNvPr id="9" name="图片_33"/>
                          <pic:cNvPicPr/>
                        </pic:nvPicPr>
                        <pic:blipFill>
                          <a:blip r:embed="rId16"/>
                          <a:stretch>
                            <a:fillRect/>
                          </a:stretch>
                        </pic:blipFill>
                        <pic:spPr>
                          <a:xfrm>
                            <a:off x="0" y="0"/>
                            <a:ext cx="874395" cy="48895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35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恒温保温汤桶（直径500*500）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 xml:space="preserve">采用304#1.0mm不锈钢板，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 xml:space="preserve">电压/功率：1.5KW/220V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 xml:space="preserve">额定容量：70L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带有恒温功能，配长勺</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187960</wp:posOffset>
                  </wp:positionH>
                  <wp:positionV relativeFrom="paragraph">
                    <wp:posOffset>65405</wp:posOffset>
                  </wp:positionV>
                  <wp:extent cx="686435" cy="746125"/>
                  <wp:effectExtent l="0" t="0" r="18415" b="15875"/>
                  <wp:wrapNone/>
                  <wp:docPr id="7" name="图片_2"/>
                  <wp:cNvGraphicFramePr/>
                  <a:graphic xmlns:a="http://schemas.openxmlformats.org/drawingml/2006/main">
                    <a:graphicData uri="http://schemas.openxmlformats.org/drawingml/2006/picture">
                      <pic:pic xmlns:pic="http://schemas.openxmlformats.org/drawingml/2006/picture">
                        <pic:nvPicPr>
                          <pic:cNvPr id="7" name="图片_2"/>
                          <pic:cNvPicPr/>
                        </pic:nvPicPr>
                        <pic:blipFill>
                          <a:blip r:embed="rId17"/>
                          <a:stretch>
                            <a:fillRect/>
                          </a:stretch>
                        </pic:blipFill>
                        <pic:spPr>
                          <a:xfrm>
                            <a:off x="0" y="0"/>
                            <a:ext cx="686435" cy="74612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80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11</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304#不锈钢地架</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件</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 xml:space="preserve">规格：1500*1000*250      用料说明：不锈钢304#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脚架304#50×50mm</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厚度1.2mm±0.25mm不锈钢管架，不锈钢排骨形面层；304#38×38厚度1.2MM±0.25不锈钢方管疏条，配不锈钢可调子弹脚可调节5公分高度及每端口配脚垫，包含运输费、人工费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59690</wp:posOffset>
                  </wp:positionH>
                  <wp:positionV relativeFrom="paragraph">
                    <wp:posOffset>160655</wp:posOffset>
                  </wp:positionV>
                  <wp:extent cx="961390" cy="852170"/>
                  <wp:effectExtent l="0" t="0" r="10160" b="5080"/>
                  <wp:wrapNone/>
                  <wp:docPr id="8" name="图片_40"/>
                  <wp:cNvGraphicFramePr/>
                  <a:graphic xmlns:a="http://schemas.openxmlformats.org/drawingml/2006/main">
                    <a:graphicData uri="http://schemas.openxmlformats.org/drawingml/2006/picture">
                      <pic:pic xmlns:pic="http://schemas.openxmlformats.org/drawingml/2006/picture">
                        <pic:nvPicPr>
                          <pic:cNvPr id="8" name="图片_40"/>
                          <pic:cNvPicPr/>
                        </pic:nvPicPr>
                        <pic:blipFill>
                          <a:blip r:embed="rId18"/>
                          <a:stretch>
                            <a:fillRect/>
                          </a:stretch>
                        </pic:blipFill>
                        <pic:spPr>
                          <a:xfrm>
                            <a:off x="0" y="0"/>
                            <a:ext cx="961390" cy="85217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542"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12</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多功能榨汁机</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台</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电压/功率：2000W/220V   (多功能）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特色功能：预约，加热，防溢，研磨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内胆材质：玻璃材质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额定电压（V）：220</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234950</wp:posOffset>
                  </wp:positionH>
                  <wp:positionV relativeFrom="paragraph">
                    <wp:posOffset>47625</wp:posOffset>
                  </wp:positionV>
                  <wp:extent cx="509270" cy="845185"/>
                  <wp:effectExtent l="0" t="0" r="5080" b="12065"/>
                  <wp:wrapNone/>
                  <wp:docPr id="53" name="图片_19"/>
                  <wp:cNvGraphicFramePr/>
                  <a:graphic xmlns:a="http://schemas.openxmlformats.org/drawingml/2006/main">
                    <a:graphicData uri="http://schemas.openxmlformats.org/drawingml/2006/picture">
                      <pic:pic xmlns:pic="http://schemas.openxmlformats.org/drawingml/2006/picture">
                        <pic:nvPicPr>
                          <pic:cNvPr id="53" name="图片_19"/>
                          <pic:cNvPicPr/>
                        </pic:nvPicPr>
                        <pic:blipFill>
                          <a:blip r:embed="rId19"/>
                          <a:stretch>
                            <a:fillRect/>
                          </a:stretch>
                        </pic:blipFill>
                        <pic:spPr>
                          <a:xfrm>
                            <a:off x="0" y="0"/>
                            <a:ext cx="509270" cy="84518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53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13</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大号钢刀刨</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把</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材质:采用1.0mm不锈钢板冲压而成，</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加厚加大，方便打磨。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双刃设计，可削可砍。</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刀柄刀身相连，劈砍防止脱落。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55245</wp:posOffset>
                  </wp:positionH>
                  <wp:positionV relativeFrom="paragraph">
                    <wp:posOffset>31750</wp:posOffset>
                  </wp:positionV>
                  <wp:extent cx="1026160" cy="483870"/>
                  <wp:effectExtent l="0" t="0" r="2540" b="11430"/>
                  <wp:wrapNone/>
                  <wp:docPr id="54" name="图片_3"/>
                  <wp:cNvGraphicFramePr/>
                  <a:graphic xmlns:a="http://schemas.openxmlformats.org/drawingml/2006/main">
                    <a:graphicData uri="http://schemas.openxmlformats.org/drawingml/2006/picture">
                      <pic:pic xmlns:pic="http://schemas.openxmlformats.org/drawingml/2006/picture">
                        <pic:nvPicPr>
                          <pic:cNvPr id="54" name="图片_3"/>
                          <pic:cNvPicPr/>
                        </pic:nvPicPr>
                        <pic:blipFill>
                          <a:blip r:embed="rId20"/>
                          <a:stretch>
                            <a:fillRect/>
                          </a:stretch>
                        </pic:blipFill>
                        <pic:spPr>
                          <a:xfrm>
                            <a:off x="0" y="0"/>
                            <a:ext cx="1026160" cy="48387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57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14</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不锈钢食品级水壶</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25</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采用1.0mm不锈钢板冲压而成，</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水开自动鸣笛。</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不锈钢材质不仅健康安全，而且导热速度快。</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螺旋壶底，加热更快。</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舒适提式手柄，经典电木手柄，人体工程学原理，握感舒适，隔热防烫</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88900</wp:posOffset>
                  </wp:positionH>
                  <wp:positionV relativeFrom="paragraph">
                    <wp:posOffset>230505</wp:posOffset>
                  </wp:positionV>
                  <wp:extent cx="963930" cy="817245"/>
                  <wp:effectExtent l="0" t="0" r="7620" b="1905"/>
                  <wp:wrapNone/>
                  <wp:docPr id="55" name="图片_23"/>
                  <wp:cNvGraphicFramePr/>
                  <a:graphic xmlns:a="http://schemas.openxmlformats.org/drawingml/2006/main">
                    <a:graphicData uri="http://schemas.openxmlformats.org/drawingml/2006/picture">
                      <pic:pic xmlns:pic="http://schemas.openxmlformats.org/drawingml/2006/picture">
                        <pic:nvPicPr>
                          <pic:cNvPr id="55" name="图片_23"/>
                          <pic:cNvPicPr/>
                        </pic:nvPicPr>
                        <pic:blipFill>
                          <a:blip r:embed="rId21"/>
                          <a:stretch>
                            <a:fillRect/>
                          </a:stretch>
                        </pic:blipFill>
                        <pic:spPr>
                          <a:xfrm>
                            <a:off x="0" y="0"/>
                            <a:ext cx="963930" cy="81724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35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15</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304#不锈钢食品级浅庄2两磨光壳(分菜勺）</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把</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材质：柄身采用304#1.2mm不锈钢板冲压而成。不锈钢材质接触食物安全无污染。并且经久耐用，防止生锈。</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手柄为木手柄。优点：木材质导热性差，防止烫手。</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94615</wp:posOffset>
                  </wp:positionH>
                  <wp:positionV relativeFrom="paragraph">
                    <wp:posOffset>224155</wp:posOffset>
                  </wp:positionV>
                  <wp:extent cx="1050925" cy="476885"/>
                  <wp:effectExtent l="0" t="0" r="0" b="18415"/>
                  <wp:wrapNone/>
                  <wp:docPr id="56" name="图片_12"/>
                  <wp:cNvGraphicFramePr/>
                  <a:graphic xmlns:a="http://schemas.openxmlformats.org/drawingml/2006/main">
                    <a:graphicData uri="http://schemas.openxmlformats.org/drawingml/2006/picture">
                      <pic:pic xmlns:pic="http://schemas.openxmlformats.org/drawingml/2006/picture">
                        <pic:nvPicPr>
                          <pic:cNvPr id="56" name="图片_12"/>
                          <pic:cNvPicPr/>
                        </pic:nvPicPr>
                        <pic:blipFill>
                          <a:blip r:embed="rId22"/>
                          <a:stretch>
                            <a:fillRect/>
                          </a:stretch>
                        </pic:blipFill>
                        <pic:spPr>
                          <a:xfrm>
                            <a:off x="0" y="0"/>
                            <a:ext cx="1050925" cy="47688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459"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16</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大白桶带盖（100L)</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采用HDPE原料制造，绿色环保材质，结实耐用，抗压抗摔，耐老化，包含运输费、人工费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71120</wp:posOffset>
                  </wp:positionH>
                  <wp:positionV relativeFrom="paragraph">
                    <wp:posOffset>69850</wp:posOffset>
                  </wp:positionV>
                  <wp:extent cx="949960" cy="836930"/>
                  <wp:effectExtent l="0" t="0" r="2540" b="1270"/>
                  <wp:wrapNone/>
                  <wp:docPr id="57" name="图片_50"/>
                  <wp:cNvGraphicFramePr/>
                  <a:graphic xmlns:a="http://schemas.openxmlformats.org/drawingml/2006/main">
                    <a:graphicData uri="http://schemas.openxmlformats.org/drawingml/2006/picture">
                      <pic:pic xmlns:pic="http://schemas.openxmlformats.org/drawingml/2006/picture">
                        <pic:nvPicPr>
                          <pic:cNvPr id="57" name="图片_50"/>
                          <pic:cNvPicPr/>
                        </pic:nvPicPr>
                        <pic:blipFill>
                          <a:blip r:embed="rId23"/>
                          <a:stretch>
                            <a:fillRect/>
                          </a:stretch>
                        </pic:blipFill>
                        <pic:spPr>
                          <a:xfrm>
                            <a:off x="0" y="0"/>
                            <a:ext cx="949960" cy="83693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57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17</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铝质面包盘</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 xml:space="preserve">材质：铝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 xml:space="preserve">厚度：0.8MM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适用于各类烤制品制作，耐高温产品，可直接放入烤箱，</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 xml:space="preserve">打磨光滑，防止食物粘到盘底。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96520</wp:posOffset>
                  </wp:positionH>
                  <wp:positionV relativeFrom="paragraph">
                    <wp:posOffset>83185</wp:posOffset>
                  </wp:positionV>
                  <wp:extent cx="917575" cy="657860"/>
                  <wp:effectExtent l="0" t="0" r="15875" b="8890"/>
                  <wp:wrapNone/>
                  <wp:docPr id="58" name="图片_6"/>
                  <wp:cNvGraphicFramePr/>
                  <a:graphic xmlns:a="http://schemas.openxmlformats.org/drawingml/2006/main">
                    <a:graphicData uri="http://schemas.openxmlformats.org/drawingml/2006/picture">
                      <pic:pic xmlns:pic="http://schemas.openxmlformats.org/drawingml/2006/picture">
                        <pic:nvPicPr>
                          <pic:cNvPr id="58" name="图片_6"/>
                          <pic:cNvPicPr/>
                        </pic:nvPicPr>
                        <pic:blipFill>
                          <a:blip r:embed="rId24"/>
                          <a:stretch>
                            <a:fillRect/>
                          </a:stretch>
                        </pic:blipFill>
                        <pic:spPr>
                          <a:xfrm>
                            <a:off x="0" y="0"/>
                            <a:ext cx="917575" cy="65786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639"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18</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浆渣分离机（豆浆机）</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台</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 xml:space="preserve">电压/功率：2.2KW/220V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产量60～90kg/h，</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转速2800r/min，</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砂轮Φ135mm，</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包含设备的电缆电线及辅材，电线电路接驳安装、运输费、人工费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174625</wp:posOffset>
                  </wp:positionH>
                  <wp:positionV relativeFrom="paragraph">
                    <wp:posOffset>85725</wp:posOffset>
                  </wp:positionV>
                  <wp:extent cx="734060" cy="688340"/>
                  <wp:effectExtent l="0" t="0" r="8890" b="16510"/>
                  <wp:wrapNone/>
                  <wp:docPr id="59" name="图片_41"/>
                  <wp:cNvGraphicFramePr/>
                  <a:graphic xmlns:a="http://schemas.openxmlformats.org/drawingml/2006/main">
                    <a:graphicData uri="http://schemas.openxmlformats.org/drawingml/2006/picture">
                      <pic:pic xmlns:pic="http://schemas.openxmlformats.org/drawingml/2006/picture">
                        <pic:nvPicPr>
                          <pic:cNvPr id="59" name="图片_41"/>
                          <pic:cNvPicPr/>
                        </pic:nvPicPr>
                        <pic:blipFill>
                          <a:blip r:embed="rId25"/>
                          <a:stretch>
                            <a:fillRect/>
                          </a:stretch>
                        </pic:blipFill>
                        <pic:spPr>
                          <a:xfrm>
                            <a:off x="0" y="0"/>
                            <a:ext cx="734060" cy="68834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35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19</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大电饭煲(32L)</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台</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 xml:space="preserve">电压/功率：3KW/220V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 xml:space="preserve">额定容量：32L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不粘锅，不夹生，易清洗</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好内胆，不变形，加热均匀，防止夹生。</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包含设备的安装、运输费、人工费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114300</wp:posOffset>
                  </wp:positionH>
                  <wp:positionV relativeFrom="paragraph">
                    <wp:posOffset>206375</wp:posOffset>
                  </wp:positionV>
                  <wp:extent cx="904240" cy="563880"/>
                  <wp:effectExtent l="0" t="0" r="10160" b="7620"/>
                  <wp:wrapNone/>
                  <wp:docPr id="60" name="图片_11"/>
                  <wp:cNvGraphicFramePr/>
                  <a:graphic xmlns:a="http://schemas.openxmlformats.org/drawingml/2006/main">
                    <a:graphicData uri="http://schemas.openxmlformats.org/drawingml/2006/picture">
                      <pic:pic xmlns:pic="http://schemas.openxmlformats.org/drawingml/2006/picture">
                        <pic:nvPicPr>
                          <pic:cNvPr id="60" name="图片_11"/>
                          <pic:cNvPicPr/>
                        </pic:nvPicPr>
                        <pic:blipFill>
                          <a:blip r:embed="rId26"/>
                          <a:stretch>
                            <a:fillRect/>
                          </a:stretch>
                        </pic:blipFill>
                        <pic:spPr>
                          <a:xfrm>
                            <a:off x="0" y="0"/>
                            <a:ext cx="904240" cy="56388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80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20</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 xml:space="preserve">304#不锈钢食品钢留样盒 </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采用304#1.2mm不锈钢板冲压而成。</w:t>
            </w:r>
          </w:p>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产品通过GB/T29601-2013《不锈钢器皿》     GB 4806.9-2016《食品安全国家标准 食品接触用金属材料及制品》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安全耐用，食品级接触材质。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易于清洗，表面电解处理。</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卷边设计，防止割手。</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107950</wp:posOffset>
                  </wp:positionH>
                  <wp:positionV relativeFrom="paragraph">
                    <wp:posOffset>219710</wp:posOffset>
                  </wp:positionV>
                  <wp:extent cx="940435" cy="758190"/>
                  <wp:effectExtent l="0" t="0" r="12065" b="3810"/>
                  <wp:wrapNone/>
                  <wp:docPr id="61" name="图片_22"/>
                  <wp:cNvGraphicFramePr/>
                  <a:graphic xmlns:a="http://schemas.openxmlformats.org/drawingml/2006/main">
                    <a:graphicData uri="http://schemas.openxmlformats.org/drawingml/2006/picture">
                      <pic:pic xmlns:pic="http://schemas.openxmlformats.org/drawingml/2006/picture">
                        <pic:nvPicPr>
                          <pic:cNvPr id="61" name="图片_22"/>
                          <pic:cNvPicPr/>
                        </pic:nvPicPr>
                        <pic:blipFill>
                          <a:blip r:embed="rId27"/>
                          <a:stretch>
                            <a:fillRect/>
                          </a:stretch>
                        </pic:blipFill>
                        <pic:spPr>
                          <a:xfrm>
                            <a:off x="0" y="0"/>
                            <a:ext cx="940435" cy="75819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35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21</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 xml:space="preserve">长方形透明塑料保鲜盒 </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品名：保鲜盒</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材料：食用级高透明PP</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四面锁扣密封性更佳。易清洗，洁净处理方便</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颜色：透明色，包含运输费、人工费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62230</wp:posOffset>
                  </wp:positionH>
                  <wp:positionV relativeFrom="paragraph">
                    <wp:posOffset>222250</wp:posOffset>
                  </wp:positionV>
                  <wp:extent cx="1019810" cy="643255"/>
                  <wp:effectExtent l="0" t="0" r="8890" b="4445"/>
                  <wp:wrapNone/>
                  <wp:docPr id="62" name="图片_45"/>
                  <wp:cNvGraphicFramePr/>
                  <a:graphic xmlns:a="http://schemas.openxmlformats.org/drawingml/2006/main">
                    <a:graphicData uri="http://schemas.openxmlformats.org/drawingml/2006/picture">
                      <pic:pic xmlns:pic="http://schemas.openxmlformats.org/drawingml/2006/picture">
                        <pic:nvPicPr>
                          <pic:cNvPr id="62" name="图片_45"/>
                          <pic:cNvPicPr/>
                        </pic:nvPicPr>
                        <pic:blipFill>
                          <a:blip r:embed="rId28"/>
                          <a:stretch>
                            <a:fillRect/>
                          </a:stretch>
                        </pic:blipFill>
                        <pic:spPr>
                          <a:xfrm>
                            <a:off x="0" y="0"/>
                            <a:ext cx="1019810" cy="64325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57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22</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桑刀</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把</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食品级不锈钢。</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刀柄采用原木，（生长巨大，吸水性能好，尽显舒适自然心境。）不染色，无化学浸泡，手感极佳，健康无污染。</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食品级不锈钢材质防止生锈。</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81280</wp:posOffset>
                  </wp:positionH>
                  <wp:positionV relativeFrom="paragraph">
                    <wp:posOffset>34925</wp:posOffset>
                  </wp:positionV>
                  <wp:extent cx="981075" cy="492760"/>
                  <wp:effectExtent l="0" t="0" r="9525" b="2540"/>
                  <wp:wrapNone/>
                  <wp:docPr id="63" name="图片_5"/>
                  <wp:cNvGraphicFramePr/>
                  <a:graphic xmlns:a="http://schemas.openxmlformats.org/drawingml/2006/main">
                    <a:graphicData uri="http://schemas.openxmlformats.org/drawingml/2006/picture">
                      <pic:pic xmlns:pic="http://schemas.openxmlformats.org/drawingml/2006/picture">
                        <pic:nvPicPr>
                          <pic:cNvPr id="63" name="图片_5"/>
                          <pic:cNvPicPr/>
                        </pic:nvPicPr>
                        <pic:blipFill>
                          <a:blip r:embed="rId29"/>
                          <a:stretch>
                            <a:fillRect/>
                          </a:stretch>
                        </pic:blipFill>
                        <pic:spPr>
                          <a:xfrm>
                            <a:off x="0" y="0"/>
                            <a:ext cx="981075" cy="49276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71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23</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304#不锈钢回收餐车</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台</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 xml:space="preserve">规格：800*600*800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用料说明：不锈钢304#</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 xml:space="preserve">面采用304#1.2mm不锈钢磨砂贴塑板，激光切割整体折弯焊接而成，分上下二层收纳，不锈钢机制件加固，配静音重力活动轮4个；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包含设备的安装、运输费、人工费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64135</wp:posOffset>
                  </wp:positionH>
                  <wp:positionV relativeFrom="paragraph">
                    <wp:posOffset>67310</wp:posOffset>
                  </wp:positionV>
                  <wp:extent cx="957580" cy="665480"/>
                  <wp:effectExtent l="0" t="0" r="13970" b="1270"/>
                  <wp:wrapNone/>
                  <wp:docPr id="64" name="图片_37"/>
                  <wp:cNvGraphicFramePr/>
                  <a:graphic xmlns:a="http://schemas.openxmlformats.org/drawingml/2006/main">
                    <a:graphicData uri="http://schemas.openxmlformats.org/drawingml/2006/picture">
                      <pic:pic xmlns:pic="http://schemas.openxmlformats.org/drawingml/2006/picture">
                        <pic:nvPicPr>
                          <pic:cNvPr id="64" name="图片_37"/>
                          <pic:cNvPicPr/>
                        </pic:nvPicPr>
                        <pic:blipFill>
                          <a:blip r:embed="rId30"/>
                          <a:stretch>
                            <a:fillRect/>
                          </a:stretch>
                        </pic:blipFill>
                        <pic:spPr>
                          <a:xfrm>
                            <a:off x="0" y="0"/>
                            <a:ext cx="957580" cy="66548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35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24</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 xml:space="preserve">蓝色特大加厚胶方盒 </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规格：850*620*450     塑料级。</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底部网格设计：更加有效的增加承重力，更耐磨，更耐摔。</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侧面加强筋设计：受力更强，不易变形。</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131445</wp:posOffset>
                  </wp:positionH>
                  <wp:positionV relativeFrom="paragraph">
                    <wp:posOffset>89535</wp:posOffset>
                  </wp:positionV>
                  <wp:extent cx="892810" cy="654685"/>
                  <wp:effectExtent l="0" t="0" r="2540" b="12065"/>
                  <wp:wrapNone/>
                  <wp:docPr id="65" name="图片_9"/>
                  <wp:cNvGraphicFramePr/>
                  <a:graphic xmlns:a="http://schemas.openxmlformats.org/drawingml/2006/main">
                    <a:graphicData uri="http://schemas.openxmlformats.org/drawingml/2006/picture">
                      <pic:pic xmlns:pic="http://schemas.openxmlformats.org/drawingml/2006/picture">
                        <pic:nvPicPr>
                          <pic:cNvPr id="65" name="图片_9"/>
                          <pic:cNvPicPr/>
                        </pic:nvPicPr>
                        <pic:blipFill>
                          <a:blip r:embed="rId31"/>
                          <a:stretch>
                            <a:fillRect/>
                          </a:stretch>
                        </pic:blipFill>
                        <pic:spPr>
                          <a:xfrm>
                            <a:off x="0" y="0"/>
                            <a:ext cx="892810" cy="65468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12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25</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白色胶萝带耳</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15</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塑料级，</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舒适提手设计：有弧度的提手设计，省力点广，移动轻松省力。</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侧面加强筋设计：受力更强，不易变形。</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88265</wp:posOffset>
                  </wp:positionH>
                  <wp:positionV relativeFrom="paragraph">
                    <wp:posOffset>209550</wp:posOffset>
                  </wp:positionV>
                  <wp:extent cx="918210" cy="431165"/>
                  <wp:effectExtent l="0" t="0" r="15240" b="6985"/>
                  <wp:wrapNone/>
                  <wp:docPr id="66" name="图片_10"/>
                  <wp:cNvGraphicFramePr/>
                  <a:graphic xmlns:a="http://schemas.openxmlformats.org/drawingml/2006/main">
                    <a:graphicData uri="http://schemas.openxmlformats.org/drawingml/2006/picture">
                      <pic:pic xmlns:pic="http://schemas.openxmlformats.org/drawingml/2006/picture">
                        <pic:nvPicPr>
                          <pic:cNvPr id="66" name="图片_10"/>
                          <pic:cNvPicPr/>
                        </pic:nvPicPr>
                        <pic:blipFill>
                          <a:blip r:embed="rId32"/>
                          <a:stretch>
                            <a:fillRect/>
                          </a:stretch>
                        </pic:blipFill>
                        <pic:spPr>
                          <a:xfrm>
                            <a:off x="0" y="0"/>
                            <a:ext cx="918210" cy="43116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03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26</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蔬果类胶砧板（青色）</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12</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规格直径450MM*厚100MM，采用聚乙烯材质，按照GB4806.7-2016食品安全国家标准食品接触用塑料材料及制品的要求；包含运输费、人工费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156845</wp:posOffset>
                  </wp:positionH>
                  <wp:positionV relativeFrom="paragraph">
                    <wp:posOffset>137795</wp:posOffset>
                  </wp:positionV>
                  <wp:extent cx="658495" cy="378460"/>
                  <wp:effectExtent l="0" t="0" r="8255" b="2540"/>
                  <wp:wrapNone/>
                  <wp:docPr id="67" name="图片_28"/>
                  <wp:cNvGraphicFramePr/>
                  <a:graphic xmlns:a="http://schemas.openxmlformats.org/drawingml/2006/main">
                    <a:graphicData uri="http://schemas.openxmlformats.org/drawingml/2006/picture">
                      <pic:pic xmlns:pic="http://schemas.openxmlformats.org/drawingml/2006/picture">
                        <pic:nvPicPr>
                          <pic:cNvPr id="67" name="图片_28"/>
                          <pic:cNvPicPr/>
                        </pic:nvPicPr>
                        <pic:blipFill>
                          <a:blip r:embed="rId33"/>
                          <a:stretch>
                            <a:fillRect/>
                          </a:stretch>
                        </pic:blipFill>
                        <pic:spPr>
                          <a:xfrm>
                            <a:off x="0" y="0"/>
                            <a:ext cx="658495" cy="37846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93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27</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水产类胶砧板（蓝色）</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规格直径450MM*厚100MM，采用聚乙烯材质，按照GB4806.7-2017食品安全国家标准食品接触用塑料材料及制品的要求；包含运输费、人工费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163830</wp:posOffset>
                  </wp:positionH>
                  <wp:positionV relativeFrom="paragraph">
                    <wp:posOffset>29845</wp:posOffset>
                  </wp:positionV>
                  <wp:extent cx="671195" cy="421005"/>
                  <wp:effectExtent l="0" t="0" r="14605" b="17145"/>
                  <wp:wrapNone/>
                  <wp:docPr id="68" name="图片_27"/>
                  <wp:cNvGraphicFramePr/>
                  <a:graphic xmlns:a="http://schemas.openxmlformats.org/drawingml/2006/main">
                    <a:graphicData uri="http://schemas.openxmlformats.org/drawingml/2006/picture">
                      <pic:pic xmlns:pic="http://schemas.openxmlformats.org/drawingml/2006/picture">
                        <pic:nvPicPr>
                          <pic:cNvPr id="68" name="图片_27"/>
                          <pic:cNvPicPr/>
                        </pic:nvPicPr>
                        <pic:blipFill>
                          <a:blip r:embed="rId34"/>
                          <a:stretch>
                            <a:fillRect/>
                          </a:stretch>
                        </pic:blipFill>
                        <pic:spPr>
                          <a:xfrm>
                            <a:off x="0" y="0"/>
                            <a:ext cx="671195" cy="42100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882"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28</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禽类类胶砧板（红色）</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规格直径450MM*厚100MM，采用聚乙烯材质，按照GB4806.7-2018食品安全国家标准食品接触用塑料材料及制品的要求。包含运输费、人工费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149225</wp:posOffset>
                  </wp:positionH>
                  <wp:positionV relativeFrom="paragraph">
                    <wp:posOffset>74295</wp:posOffset>
                  </wp:positionV>
                  <wp:extent cx="577850" cy="403860"/>
                  <wp:effectExtent l="0" t="0" r="12700" b="15240"/>
                  <wp:wrapNone/>
                  <wp:docPr id="69" name="图片_25"/>
                  <wp:cNvGraphicFramePr/>
                  <a:graphic xmlns:a="http://schemas.openxmlformats.org/drawingml/2006/main">
                    <a:graphicData uri="http://schemas.openxmlformats.org/drawingml/2006/picture">
                      <pic:pic xmlns:pic="http://schemas.openxmlformats.org/drawingml/2006/picture">
                        <pic:nvPicPr>
                          <pic:cNvPr id="69" name="图片_25"/>
                          <pic:cNvPicPr/>
                        </pic:nvPicPr>
                        <pic:blipFill>
                          <a:blip r:embed="rId35"/>
                          <a:stretch>
                            <a:fillRect/>
                          </a:stretch>
                        </pic:blipFill>
                        <pic:spPr>
                          <a:xfrm>
                            <a:off x="0" y="0"/>
                            <a:ext cx="577850" cy="40386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96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29</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熟食类胶砧板（白色）</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规格直径450MM*厚100MM，采用聚乙烯材质，按照GB4806.7-2018食品安全国家标准食品接触用塑料材料及制品的要求。包含运输费、人工费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94615</wp:posOffset>
                  </wp:positionH>
                  <wp:positionV relativeFrom="paragraph">
                    <wp:posOffset>122555</wp:posOffset>
                  </wp:positionV>
                  <wp:extent cx="681355" cy="321310"/>
                  <wp:effectExtent l="0" t="0" r="4445" b="2540"/>
                  <wp:wrapNone/>
                  <wp:docPr id="70" name="图片_26"/>
                  <wp:cNvGraphicFramePr/>
                  <a:graphic xmlns:a="http://schemas.openxmlformats.org/drawingml/2006/main">
                    <a:graphicData uri="http://schemas.openxmlformats.org/drawingml/2006/picture">
                      <pic:pic xmlns:pic="http://schemas.openxmlformats.org/drawingml/2006/picture">
                        <pic:nvPicPr>
                          <pic:cNvPr id="70" name="图片_26"/>
                          <pic:cNvPicPr/>
                        </pic:nvPicPr>
                        <pic:blipFill>
                          <a:blip r:embed="rId36"/>
                          <a:stretch>
                            <a:fillRect/>
                          </a:stretch>
                        </pic:blipFill>
                        <pic:spPr>
                          <a:xfrm>
                            <a:off x="0" y="0"/>
                            <a:ext cx="681355" cy="32131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57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304#不锈钢潲水车</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台</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 xml:space="preserve">规格：1000*760*800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 xml:space="preserve">用料说明：不锈钢304#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面采用304#1.0mm不锈钢磨砂贴塑板，激光切割整体折弯焊接而成，设一个垃圾孔，垃圾道于前方开，台边微斜高150挡水坡，不锈钢机制件加固，∮配静音重力活动车轮，包含设备的安装、运输费、人工费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136525</wp:posOffset>
                  </wp:positionH>
                  <wp:positionV relativeFrom="paragraph">
                    <wp:posOffset>127635</wp:posOffset>
                  </wp:positionV>
                  <wp:extent cx="876935" cy="584200"/>
                  <wp:effectExtent l="0" t="0" r="18415" b="6350"/>
                  <wp:wrapNone/>
                  <wp:docPr id="71" name="图片_36"/>
                  <wp:cNvGraphicFramePr/>
                  <a:graphic xmlns:a="http://schemas.openxmlformats.org/drawingml/2006/main">
                    <a:graphicData uri="http://schemas.openxmlformats.org/drawingml/2006/picture">
                      <pic:pic xmlns:pic="http://schemas.openxmlformats.org/drawingml/2006/picture">
                        <pic:nvPicPr>
                          <pic:cNvPr id="71" name="图片_36"/>
                          <pic:cNvPicPr/>
                        </pic:nvPicPr>
                        <pic:blipFill>
                          <a:blip r:embed="rId37"/>
                          <a:stretch>
                            <a:fillRect/>
                          </a:stretch>
                        </pic:blipFill>
                        <pic:spPr>
                          <a:xfrm>
                            <a:off x="0" y="0"/>
                            <a:ext cx="876935" cy="58420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56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31</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大白桶(120L)</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采用HDPE原料制造，</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绿色环保材质，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结实耐用，抗压抗摔，耐老化，</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111125</wp:posOffset>
                  </wp:positionH>
                  <wp:positionV relativeFrom="paragraph">
                    <wp:posOffset>31750</wp:posOffset>
                  </wp:positionV>
                  <wp:extent cx="949960" cy="836930"/>
                  <wp:effectExtent l="0" t="0" r="2540" b="1270"/>
                  <wp:wrapNone/>
                  <wp:docPr id="72" name="图片_42"/>
                  <wp:cNvGraphicFramePr/>
                  <a:graphic xmlns:a="http://schemas.openxmlformats.org/drawingml/2006/main">
                    <a:graphicData uri="http://schemas.openxmlformats.org/drawingml/2006/picture">
                      <pic:pic xmlns:pic="http://schemas.openxmlformats.org/drawingml/2006/picture">
                        <pic:nvPicPr>
                          <pic:cNvPr id="72" name="图片_42"/>
                          <pic:cNvPicPr/>
                        </pic:nvPicPr>
                        <pic:blipFill>
                          <a:blip r:embed="rId23"/>
                          <a:stretch>
                            <a:fillRect/>
                          </a:stretch>
                        </pic:blipFill>
                        <pic:spPr>
                          <a:xfrm>
                            <a:off x="0" y="0"/>
                            <a:ext cx="949960" cy="83693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602"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32</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大白桶（60L)</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采用HDPE原料制造，</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绿色环保材质，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结实耐用，抗压抗摔，耐老化，</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102870</wp:posOffset>
                  </wp:positionH>
                  <wp:positionV relativeFrom="paragraph">
                    <wp:posOffset>62230</wp:posOffset>
                  </wp:positionV>
                  <wp:extent cx="949960" cy="836930"/>
                  <wp:effectExtent l="0" t="0" r="2540" b="1270"/>
                  <wp:wrapNone/>
                  <wp:docPr id="73" name="图片_43"/>
                  <wp:cNvGraphicFramePr/>
                  <a:graphic xmlns:a="http://schemas.openxmlformats.org/drawingml/2006/main">
                    <a:graphicData uri="http://schemas.openxmlformats.org/drawingml/2006/picture">
                      <pic:pic xmlns:pic="http://schemas.openxmlformats.org/drawingml/2006/picture">
                        <pic:nvPicPr>
                          <pic:cNvPr id="73" name="图片_43"/>
                          <pic:cNvPicPr/>
                        </pic:nvPicPr>
                        <pic:blipFill>
                          <a:blip r:embed="rId23"/>
                          <a:stretch>
                            <a:fillRect/>
                          </a:stretch>
                        </pic:blipFill>
                        <pic:spPr>
                          <a:xfrm>
                            <a:off x="0" y="0"/>
                            <a:ext cx="949960" cy="83693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270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33</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餐具消毒柜</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台</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规格：2150*1060*1970</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 xml:space="preserve">用料说明：面板采用304#不锈钢板                     功率：12KW/380V,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配2台活动消毒推车，配抽斗16个,特设超温保护，有效控制柜内温度，多重保护装置，让您更放心使用。 采用紫外线臭氧保洁加中温烘干方式消毒，具有高效节能，杀菌无死角，寿命长等特点。对各种细菌、病毒、破坏乙肝表面抗原的杀灭率达99.9%，杀毒效果符合国家标准要求。包含设备电缆电线及辅材电线电路接驳安装、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34290</wp:posOffset>
                  </wp:positionH>
                  <wp:positionV relativeFrom="paragraph">
                    <wp:posOffset>592455</wp:posOffset>
                  </wp:positionV>
                  <wp:extent cx="1042670" cy="697230"/>
                  <wp:effectExtent l="0" t="0" r="5080" b="7620"/>
                  <wp:wrapNone/>
                  <wp:docPr id="74" name="图片_17"/>
                  <wp:cNvGraphicFramePr/>
                  <a:graphic xmlns:a="http://schemas.openxmlformats.org/drawingml/2006/main">
                    <a:graphicData uri="http://schemas.openxmlformats.org/drawingml/2006/picture">
                      <pic:pic xmlns:pic="http://schemas.openxmlformats.org/drawingml/2006/picture">
                        <pic:nvPicPr>
                          <pic:cNvPr id="74" name="图片_17"/>
                          <pic:cNvPicPr/>
                        </pic:nvPicPr>
                        <pic:blipFill>
                          <a:blip r:embed="rId38"/>
                          <a:stretch>
                            <a:fillRect/>
                          </a:stretch>
                        </pic:blipFill>
                        <pic:spPr>
                          <a:xfrm>
                            <a:off x="0" y="0"/>
                            <a:ext cx="1042670" cy="69723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90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34</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保温大容量豆浆桶</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台</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手提式带龙头不锈钢保温桶，</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多层保温，隔热技术，所用材料导热系数低，超强低温传导性能，可达保温12小时。</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226695</wp:posOffset>
                  </wp:positionH>
                  <wp:positionV relativeFrom="paragraph">
                    <wp:posOffset>43180</wp:posOffset>
                  </wp:positionV>
                  <wp:extent cx="396240" cy="614680"/>
                  <wp:effectExtent l="0" t="0" r="3810" b="13970"/>
                  <wp:wrapNone/>
                  <wp:docPr id="75" name="图片_18"/>
                  <wp:cNvGraphicFramePr/>
                  <a:graphic xmlns:a="http://schemas.openxmlformats.org/drawingml/2006/main">
                    <a:graphicData uri="http://schemas.openxmlformats.org/drawingml/2006/picture">
                      <pic:pic xmlns:pic="http://schemas.openxmlformats.org/drawingml/2006/picture">
                        <pic:nvPicPr>
                          <pic:cNvPr id="75" name="图片_18"/>
                          <pic:cNvPicPr/>
                        </pic:nvPicPr>
                        <pic:blipFill>
                          <a:blip r:embed="rId39"/>
                          <a:stretch>
                            <a:fillRect/>
                          </a:stretch>
                        </pic:blipFill>
                        <pic:spPr>
                          <a:xfrm>
                            <a:off x="0" y="0"/>
                            <a:ext cx="396240" cy="61468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35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35</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304#加厚大锅铲头</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把</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食品级304#材质，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不锈钢材质接触食物安全无污染。并且经久耐用，防止生锈。</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手柄为木手柄。优点：木材质导热性差，防止烫手</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28575</wp:posOffset>
                  </wp:positionH>
                  <wp:positionV relativeFrom="paragraph">
                    <wp:posOffset>292100</wp:posOffset>
                  </wp:positionV>
                  <wp:extent cx="1028065" cy="299720"/>
                  <wp:effectExtent l="0" t="0" r="635" b="5080"/>
                  <wp:wrapNone/>
                  <wp:docPr id="76" name="图片_7"/>
                  <wp:cNvGraphicFramePr/>
                  <a:graphic xmlns:a="http://schemas.openxmlformats.org/drawingml/2006/main">
                    <a:graphicData uri="http://schemas.openxmlformats.org/drawingml/2006/picture">
                      <pic:pic xmlns:pic="http://schemas.openxmlformats.org/drawingml/2006/picture">
                        <pic:nvPicPr>
                          <pic:cNvPr id="76" name="图片_7"/>
                          <pic:cNvPicPr/>
                        </pic:nvPicPr>
                        <pic:blipFill>
                          <a:blip r:embed="rId40"/>
                          <a:stretch>
                            <a:fillRect/>
                          </a:stretch>
                        </pic:blipFill>
                        <pic:spPr>
                          <a:xfrm>
                            <a:off x="0" y="0"/>
                            <a:ext cx="1028065" cy="29972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90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36</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fldChar w:fldCharType="begin"/>
            </w:r>
            <w:r>
              <w:rPr>
                <w:rFonts w:hint="eastAsia" w:ascii="宋体" w:hAnsi="宋体" w:eastAsia="宋体" w:cs="宋体"/>
                <w:i w:val="0"/>
                <w:color w:val="auto"/>
                <w:kern w:val="0"/>
                <w:sz w:val="21"/>
                <w:szCs w:val="21"/>
                <w:u w:val="none"/>
                <w:lang w:val="en-US" w:eastAsia="zh-CN" w:bidi="ar"/>
              </w:rPr>
              <w:instrText xml:space="preserve"> HYPERLINK "mailto:304@罩篱" </w:instrText>
            </w:r>
            <w:r>
              <w:rPr>
                <w:rFonts w:hint="eastAsia" w:ascii="宋体" w:hAnsi="宋体" w:eastAsia="宋体" w:cs="宋体"/>
                <w:i w:val="0"/>
                <w:color w:val="auto"/>
                <w:kern w:val="0"/>
                <w:sz w:val="21"/>
                <w:szCs w:val="21"/>
                <w:u w:val="none"/>
                <w:lang w:val="en-US" w:eastAsia="zh-CN" w:bidi="ar"/>
              </w:rPr>
              <w:fldChar w:fldCharType="separate"/>
            </w:r>
            <w:r>
              <w:rPr>
                <w:rStyle w:val="20"/>
                <w:rFonts w:hint="eastAsia" w:ascii="宋体" w:hAnsi="宋体" w:eastAsia="宋体" w:cs="宋体"/>
                <w:i w:val="0"/>
                <w:color w:val="auto"/>
                <w:sz w:val="21"/>
                <w:szCs w:val="21"/>
                <w:u w:val="none"/>
              </w:rPr>
              <w:t>304#不锈钢罩篱</w:t>
            </w:r>
            <w:r>
              <w:rPr>
                <w:rFonts w:hint="eastAsia" w:ascii="宋体" w:hAnsi="宋体" w:eastAsia="宋体" w:cs="宋体"/>
                <w:i w:val="0"/>
                <w:color w:val="auto"/>
                <w:kern w:val="0"/>
                <w:sz w:val="21"/>
                <w:szCs w:val="21"/>
                <w:u w:val="none"/>
                <w:lang w:val="en-US" w:eastAsia="zh-CN" w:bidi="ar"/>
              </w:rPr>
              <w:fldChar w:fldCharType="end"/>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食品级304#材质，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加厚加粗，加固网格</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加粗加长手柄，防止手臂近距离接触</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138430</wp:posOffset>
                  </wp:positionH>
                  <wp:positionV relativeFrom="paragraph">
                    <wp:posOffset>71755</wp:posOffset>
                  </wp:positionV>
                  <wp:extent cx="763905" cy="356870"/>
                  <wp:effectExtent l="0" t="0" r="17145" b="5080"/>
                  <wp:wrapNone/>
                  <wp:docPr id="77" name="图片_20"/>
                  <wp:cNvGraphicFramePr/>
                  <a:graphic xmlns:a="http://schemas.openxmlformats.org/drawingml/2006/main">
                    <a:graphicData uri="http://schemas.openxmlformats.org/drawingml/2006/picture">
                      <pic:pic xmlns:pic="http://schemas.openxmlformats.org/drawingml/2006/picture">
                        <pic:nvPicPr>
                          <pic:cNvPr id="77" name="图片_20"/>
                          <pic:cNvPicPr/>
                        </pic:nvPicPr>
                        <pic:blipFill>
                          <a:blip r:embed="rId41"/>
                          <a:stretch>
                            <a:fillRect/>
                          </a:stretch>
                        </pic:blipFill>
                        <pic:spPr>
                          <a:xfrm>
                            <a:off x="0" y="0"/>
                            <a:ext cx="763905" cy="35687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80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37</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304#不锈钢食品级菜夹</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食品级304#材质，</w:t>
            </w:r>
          </w:p>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产品通过GB/T29601-2013《不锈钢器皿》     GB 4806.9-2016《食品安全国家标准 食品接触用金属材料及制品》</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304食品级不锈钢，不发霉，不藏菌，不易生锈，不变形，好清洗，耐高温，更耐用。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内置弹簧，夹取更省力，</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一体式设计，不会脱松，更加耐用。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81280</wp:posOffset>
                  </wp:positionH>
                  <wp:positionV relativeFrom="paragraph">
                    <wp:posOffset>71755</wp:posOffset>
                  </wp:positionV>
                  <wp:extent cx="993140" cy="337820"/>
                  <wp:effectExtent l="0" t="0" r="16510" b="5080"/>
                  <wp:wrapNone/>
                  <wp:docPr id="78" name="图片_8"/>
                  <wp:cNvGraphicFramePr/>
                  <a:graphic xmlns:a="http://schemas.openxmlformats.org/drawingml/2006/main">
                    <a:graphicData uri="http://schemas.openxmlformats.org/drawingml/2006/picture">
                      <pic:pic xmlns:pic="http://schemas.openxmlformats.org/drawingml/2006/picture">
                        <pic:nvPicPr>
                          <pic:cNvPr id="78" name="图片_8"/>
                          <pic:cNvPicPr/>
                        </pic:nvPicPr>
                        <pic:blipFill>
                          <a:blip r:embed="rId42"/>
                          <a:stretch>
                            <a:fillRect/>
                          </a:stretch>
                        </pic:blipFill>
                        <pic:spPr>
                          <a:xfrm>
                            <a:off x="0" y="0"/>
                            <a:ext cx="993140" cy="33782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35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38</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304#特大不锈钢腌制盘</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食品级304#材质1.2面板冲压而成，直径800，</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加厚耐磨耐用，防腐防锈。</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加宽加深，易清洗。</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镜面抛光，易清洗，光洁亮丽，易于清洗，不藏污垢</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60325</wp:posOffset>
                  </wp:positionH>
                  <wp:positionV relativeFrom="paragraph">
                    <wp:posOffset>227330</wp:posOffset>
                  </wp:positionV>
                  <wp:extent cx="994410" cy="522605"/>
                  <wp:effectExtent l="0" t="0" r="15240" b="10795"/>
                  <wp:wrapNone/>
                  <wp:docPr id="79" name="图片_51"/>
                  <wp:cNvGraphicFramePr/>
                  <a:graphic xmlns:a="http://schemas.openxmlformats.org/drawingml/2006/main">
                    <a:graphicData uri="http://schemas.openxmlformats.org/drawingml/2006/picture">
                      <pic:pic xmlns:pic="http://schemas.openxmlformats.org/drawingml/2006/picture">
                        <pic:nvPicPr>
                          <pic:cNvPr id="79" name="图片_51"/>
                          <pic:cNvPicPr/>
                        </pic:nvPicPr>
                        <pic:blipFill>
                          <a:blip r:embed="rId43"/>
                          <a:stretch>
                            <a:fillRect/>
                          </a:stretch>
                        </pic:blipFill>
                        <pic:spPr>
                          <a:xfrm>
                            <a:off x="0" y="0"/>
                            <a:ext cx="994410" cy="52260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12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39</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304#不锈钢有孔蒸盘</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 xml:space="preserve">材质：304#不锈钢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厚度：1.0MM  不锈钢板冲压而成，</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质感厚重，经久耐用，精细打磨，炫亮抛光，使表面光滑如镜</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227330</wp:posOffset>
                  </wp:positionH>
                  <wp:positionV relativeFrom="paragraph">
                    <wp:posOffset>72390</wp:posOffset>
                  </wp:positionV>
                  <wp:extent cx="873125" cy="569595"/>
                  <wp:effectExtent l="0" t="0" r="3175" b="1905"/>
                  <wp:wrapNone/>
                  <wp:docPr id="80" name="图片_34"/>
                  <wp:cNvGraphicFramePr/>
                  <a:graphic xmlns:a="http://schemas.openxmlformats.org/drawingml/2006/main">
                    <a:graphicData uri="http://schemas.openxmlformats.org/drawingml/2006/picture">
                      <pic:pic xmlns:pic="http://schemas.openxmlformats.org/drawingml/2006/picture">
                        <pic:nvPicPr>
                          <pic:cNvPr id="80" name="图片_34"/>
                          <pic:cNvPicPr/>
                        </pic:nvPicPr>
                        <pic:blipFill>
                          <a:blip r:embed="rId44"/>
                          <a:stretch>
                            <a:fillRect/>
                          </a:stretch>
                        </pic:blipFill>
                        <pic:spPr>
                          <a:xfrm>
                            <a:off x="0" y="0"/>
                            <a:ext cx="873125" cy="56959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2059"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40</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304#不锈钢洗手槽</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7.395</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米</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规格：7395*450*900       用料说明：台面及盆采用 1.1mm 厚 304#不锈钢板激光切割整体折弯焊接而成；台脚采用 38×38mm 厚度1.0mm 不锈钢方通，配不锈钢可调子弹脚可调节 5 公分高度, 支架横通采用 38×25mm 厚度 1.2mm 不锈钢方通，及 φ 50mm 不锈钢下水器、1″满水器，排水管采用 PVC 软水管直下，洗手槽背面采用0.8MM厚304#封板，封板高度为850MM,配进水不锈钢软管8条，包PVC进，排水辅料及安装管接驳等。包安装费，搬运费，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after="0"/>
              <w:rPr>
                <w:rFonts w:hint="eastAsia" w:ascii="宋体" w:hAnsi="宋体" w:eastAsia="宋体" w:cs="宋体"/>
                <w:i w:val="0"/>
                <w:color w:val="auto"/>
                <w:sz w:val="21"/>
                <w:szCs w:val="21"/>
                <w:u w:val="none"/>
              </w:rPr>
            </w:pPr>
          </w:p>
        </w:tc>
      </w:tr>
      <w:tr>
        <w:tblPrEx>
          <w:tblCellMar>
            <w:top w:w="0" w:type="dxa"/>
            <w:left w:w="0" w:type="dxa"/>
            <w:bottom w:w="0" w:type="dxa"/>
            <w:right w:w="0" w:type="dxa"/>
          </w:tblCellMar>
        </w:tblPrEx>
        <w:trPr>
          <w:trHeight w:val="126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41</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不锈钢单星水龙头</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产品材质：304#不锈钢,ABS材质，表面处理：金属拉丝工艺，内阀体全铜，使用方便，包含运输费、人工费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323215</wp:posOffset>
                  </wp:positionH>
                  <wp:positionV relativeFrom="paragraph">
                    <wp:posOffset>139065</wp:posOffset>
                  </wp:positionV>
                  <wp:extent cx="315595" cy="581025"/>
                  <wp:effectExtent l="0" t="0" r="8255" b="9525"/>
                  <wp:wrapNone/>
                  <wp:docPr id="81" name="图片_39"/>
                  <wp:cNvGraphicFramePr/>
                  <a:graphic xmlns:a="http://schemas.openxmlformats.org/drawingml/2006/main">
                    <a:graphicData uri="http://schemas.openxmlformats.org/drawingml/2006/picture">
                      <pic:pic xmlns:pic="http://schemas.openxmlformats.org/drawingml/2006/picture">
                        <pic:nvPicPr>
                          <pic:cNvPr id="81" name="图片_39"/>
                          <pic:cNvPicPr/>
                        </pic:nvPicPr>
                        <pic:blipFill>
                          <a:blip r:embed="rId45"/>
                          <a:stretch>
                            <a:fillRect/>
                          </a:stretch>
                        </pic:blipFill>
                        <pic:spPr>
                          <a:xfrm>
                            <a:off x="0" y="0"/>
                            <a:ext cx="315595" cy="58102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36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42</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304#洗手槽运输费</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次</w:t>
            </w:r>
          </w:p>
        </w:tc>
        <w:tc>
          <w:tcPr>
            <w:tcW w:w="25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after="0"/>
              <w:jc w:val="left"/>
              <w:rPr>
                <w:rFonts w:hint="eastAsia" w:ascii="宋体" w:hAnsi="宋体" w:eastAsia="宋体" w:cs="宋体"/>
                <w:i w:val="0"/>
                <w:color w:val="auto"/>
                <w:sz w:val="21"/>
                <w:szCs w:val="21"/>
                <w:u w:val="none"/>
              </w:rPr>
            </w:pP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after="0"/>
              <w:rPr>
                <w:rFonts w:hint="eastAsia" w:ascii="宋体" w:hAnsi="宋体" w:eastAsia="宋体" w:cs="宋体"/>
                <w:i w:val="0"/>
                <w:color w:val="auto"/>
                <w:sz w:val="21"/>
                <w:szCs w:val="21"/>
                <w:u w:val="none"/>
              </w:rPr>
            </w:pPr>
          </w:p>
        </w:tc>
      </w:tr>
      <w:tr>
        <w:tblPrEx>
          <w:tblCellMar>
            <w:top w:w="0" w:type="dxa"/>
            <w:left w:w="0" w:type="dxa"/>
            <w:bottom w:w="0" w:type="dxa"/>
            <w:right w:w="0" w:type="dxa"/>
          </w:tblCellMar>
        </w:tblPrEx>
        <w:trPr>
          <w:trHeight w:val="138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43</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304#食品级汤盆</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400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规格：直径20CM          用料说明：304#材质，盖标有304食品级，</w:t>
            </w:r>
          </w:p>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产品通过“GB/T29601-2013《不锈钢不锈钢器皿》   GB4806.9-2016《食品安全国家标准食品接触用金属材料及制品》”包含运输费、人工费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99695</wp:posOffset>
                  </wp:positionH>
                  <wp:positionV relativeFrom="paragraph">
                    <wp:posOffset>114935</wp:posOffset>
                  </wp:positionV>
                  <wp:extent cx="908050" cy="594995"/>
                  <wp:effectExtent l="0" t="0" r="6350" b="14605"/>
                  <wp:wrapNone/>
                  <wp:docPr id="82" name="图片_24"/>
                  <wp:cNvGraphicFramePr/>
                  <a:graphic xmlns:a="http://schemas.openxmlformats.org/drawingml/2006/main">
                    <a:graphicData uri="http://schemas.openxmlformats.org/drawingml/2006/picture">
                      <pic:pic xmlns:pic="http://schemas.openxmlformats.org/drawingml/2006/picture">
                        <pic:nvPicPr>
                          <pic:cNvPr id="82" name="图片_24"/>
                          <pic:cNvPicPr/>
                        </pic:nvPicPr>
                        <pic:blipFill>
                          <a:blip r:embed="rId46"/>
                          <a:stretch>
                            <a:fillRect/>
                          </a:stretch>
                        </pic:blipFill>
                        <pic:spPr>
                          <a:xfrm>
                            <a:off x="0" y="0"/>
                            <a:ext cx="908050" cy="59499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47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44</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304#食品级味盅</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用料说明：304#材质，盖标有304食品级，</w:t>
            </w:r>
          </w:p>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产品通过“GB/T29601-2013《不锈钢不锈钢器皿》   GB4806.9-2016《食品安全国家标准食品接触用金属材料及制品》”包含运输费、人工费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149860</wp:posOffset>
                  </wp:positionH>
                  <wp:positionV relativeFrom="paragraph">
                    <wp:posOffset>129540</wp:posOffset>
                  </wp:positionV>
                  <wp:extent cx="832485" cy="637540"/>
                  <wp:effectExtent l="0" t="0" r="5715" b="10160"/>
                  <wp:wrapNone/>
                  <wp:docPr id="83" name="图片_29"/>
                  <wp:cNvGraphicFramePr/>
                  <a:graphic xmlns:a="http://schemas.openxmlformats.org/drawingml/2006/main">
                    <a:graphicData uri="http://schemas.openxmlformats.org/drawingml/2006/picture">
                      <pic:pic xmlns:pic="http://schemas.openxmlformats.org/drawingml/2006/picture">
                        <pic:nvPicPr>
                          <pic:cNvPr id="83" name="图片_29"/>
                          <pic:cNvPicPr/>
                        </pic:nvPicPr>
                        <pic:blipFill>
                          <a:blip r:embed="rId47"/>
                          <a:stretch>
                            <a:fillRect/>
                          </a:stretch>
                        </pic:blipFill>
                        <pic:spPr>
                          <a:xfrm>
                            <a:off x="0" y="0"/>
                            <a:ext cx="832485" cy="63754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78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45</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304#不锈钢双层工作台</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台</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 xml:space="preserve">规格：1600*800*600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台面采用304#1.2m厚不锈钢板，激光切割整体折弯焊接而成，边角需打磨无毛刺；台面下方采用U型不锈钢板加强；层板采用304#1.0mm厚不锈钢板，激光切割整体折弯焊接而成,边角打磨无毛刺；脚管采用51不锈钢圆通制作，配不锈钢可调节重力脚； 包运输费，搬运费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76200</wp:posOffset>
                  </wp:positionH>
                  <wp:positionV relativeFrom="paragraph">
                    <wp:posOffset>166370</wp:posOffset>
                  </wp:positionV>
                  <wp:extent cx="1000760" cy="781685"/>
                  <wp:effectExtent l="0" t="0" r="8890" b="18415"/>
                  <wp:wrapNone/>
                  <wp:docPr id="84" name="图片_44"/>
                  <wp:cNvGraphicFramePr/>
                  <a:graphic xmlns:a="http://schemas.openxmlformats.org/drawingml/2006/main">
                    <a:graphicData uri="http://schemas.openxmlformats.org/drawingml/2006/picture">
                      <pic:pic xmlns:pic="http://schemas.openxmlformats.org/drawingml/2006/picture">
                        <pic:nvPicPr>
                          <pic:cNvPr id="84" name="图片_44"/>
                          <pic:cNvPicPr/>
                        </pic:nvPicPr>
                        <pic:blipFill>
                          <a:blip r:embed="rId48"/>
                          <a:stretch>
                            <a:fillRect/>
                          </a:stretch>
                        </pic:blipFill>
                        <pic:spPr>
                          <a:xfrm>
                            <a:off x="0" y="0"/>
                            <a:ext cx="1000760" cy="78168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23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46</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304#食品级打饭盆</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用料说明：304#材质，盖标有304食品级，</w:t>
            </w:r>
          </w:p>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产品通过“GB/T29601-2013《不锈钢不锈钢器皿》   GB4806.9-2016《食品安全国家标准食品接触用金属材料及制品》”包含运输费、人工费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159385</wp:posOffset>
                  </wp:positionH>
                  <wp:positionV relativeFrom="paragraph">
                    <wp:posOffset>88900</wp:posOffset>
                  </wp:positionV>
                  <wp:extent cx="827405" cy="592455"/>
                  <wp:effectExtent l="0" t="0" r="10795" b="17145"/>
                  <wp:wrapNone/>
                  <wp:docPr id="85" name="图片_44_SpCnt_1"/>
                  <wp:cNvGraphicFramePr/>
                  <a:graphic xmlns:a="http://schemas.openxmlformats.org/drawingml/2006/main">
                    <a:graphicData uri="http://schemas.openxmlformats.org/drawingml/2006/picture">
                      <pic:pic xmlns:pic="http://schemas.openxmlformats.org/drawingml/2006/picture">
                        <pic:nvPicPr>
                          <pic:cNvPr id="85" name="图片_44_SpCnt_1"/>
                          <pic:cNvPicPr/>
                        </pic:nvPicPr>
                        <pic:blipFill>
                          <a:blip r:embed="rId49"/>
                          <a:stretch>
                            <a:fillRect/>
                          </a:stretch>
                        </pic:blipFill>
                        <pic:spPr>
                          <a:xfrm>
                            <a:off x="0" y="0"/>
                            <a:ext cx="827405" cy="59245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12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47</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304#不锈钢地架</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台</w:t>
            </w:r>
          </w:p>
        </w:tc>
        <w:tc>
          <w:tcPr>
            <w:tcW w:w="25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 xml:space="preserve">规格：600*400*200     </w:t>
            </w:r>
          </w:p>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用料说明：不锈钢304#                                               脚架304#38×38mm厚度1.0mm不锈钢管架，不锈钢排骨形面层；304#38×25厚度1.0m不锈钢方管疏条，配不锈钢可调子弹脚可调节5公分高度及每端口配脚垫，包运输费，搬运费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156210</wp:posOffset>
                  </wp:positionH>
                  <wp:positionV relativeFrom="paragraph">
                    <wp:posOffset>189230</wp:posOffset>
                  </wp:positionV>
                  <wp:extent cx="842010" cy="462915"/>
                  <wp:effectExtent l="0" t="0" r="15240" b="13335"/>
                  <wp:wrapNone/>
                  <wp:docPr id="86" name="图片_31"/>
                  <wp:cNvGraphicFramePr/>
                  <a:graphic xmlns:a="http://schemas.openxmlformats.org/drawingml/2006/main">
                    <a:graphicData uri="http://schemas.openxmlformats.org/drawingml/2006/picture">
                      <pic:pic xmlns:pic="http://schemas.openxmlformats.org/drawingml/2006/picture">
                        <pic:nvPicPr>
                          <pic:cNvPr id="86" name="图片_31"/>
                          <pic:cNvPicPr/>
                        </pic:nvPicPr>
                        <pic:blipFill>
                          <a:blip r:embed="rId50"/>
                          <a:stretch>
                            <a:fillRect/>
                          </a:stretch>
                        </pic:blipFill>
                        <pic:spPr>
                          <a:xfrm>
                            <a:off x="0" y="0"/>
                            <a:ext cx="842010" cy="46291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12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48</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304#不锈钢地架</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台</w:t>
            </w:r>
          </w:p>
        </w:tc>
        <w:tc>
          <w:tcPr>
            <w:tcW w:w="25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 xml:space="preserve">规格：600*500*200     </w:t>
            </w:r>
          </w:p>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用料说明：不锈钢304#                                               脚架304#38×38mm厚度1.0mm不锈钢管架，不锈钢排骨形面层；304#38×25厚度1.0m不锈钢方管疏条，配不锈钢可调子弹脚可调节5公分高度及每端口配脚垫，包运输费，搬运费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127635</wp:posOffset>
                  </wp:positionH>
                  <wp:positionV relativeFrom="paragraph">
                    <wp:posOffset>277495</wp:posOffset>
                  </wp:positionV>
                  <wp:extent cx="842010" cy="434340"/>
                  <wp:effectExtent l="0" t="0" r="15240" b="3810"/>
                  <wp:wrapNone/>
                  <wp:docPr id="87" name="图片_30"/>
                  <wp:cNvGraphicFramePr/>
                  <a:graphic xmlns:a="http://schemas.openxmlformats.org/drawingml/2006/main">
                    <a:graphicData uri="http://schemas.openxmlformats.org/drawingml/2006/picture">
                      <pic:pic xmlns:pic="http://schemas.openxmlformats.org/drawingml/2006/picture">
                        <pic:nvPicPr>
                          <pic:cNvPr id="87" name="图片_30"/>
                          <pic:cNvPicPr/>
                        </pic:nvPicPr>
                        <pic:blipFill>
                          <a:blip r:embed="rId51"/>
                          <a:stretch>
                            <a:fillRect/>
                          </a:stretch>
                        </pic:blipFill>
                        <pic:spPr>
                          <a:xfrm>
                            <a:off x="0" y="0"/>
                            <a:ext cx="842010" cy="43434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204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49</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多功能切菜机</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台</w:t>
            </w:r>
          </w:p>
        </w:tc>
        <w:tc>
          <w:tcPr>
            <w:tcW w:w="25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 xml:space="preserve">用料说明：全不锈钢材质    </w:t>
            </w:r>
          </w:p>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用途：将根茎类蔬菜：马铃薯、蕃薯、瓜类、竹笋、洋葱、茄子以及叶菜类蔬菜：芹菜、大白菜、高丽菜、菠菜等蔬果类切成丁、片、丝条状。成品形状：片、丝、丁。含电缆电线辅材线路接驳，包运输费，搬运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93980</wp:posOffset>
                  </wp:positionH>
                  <wp:positionV relativeFrom="paragraph">
                    <wp:posOffset>437515</wp:posOffset>
                  </wp:positionV>
                  <wp:extent cx="936625" cy="613410"/>
                  <wp:effectExtent l="0" t="0" r="15875" b="15240"/>
                  <wp:wrapNone/>
                  <wp:docPr id="88" name="图片_38"/>
                  <wp:cNvGraphicFramePr/>
                  <a:graphic xmlns:a="http://schemas.openxmlformats.org/drawingml/2006/main">
                    <a:graphicData uri="http://schemas.openxmlformats.org/drawingml/2006/picture">
                      <pic:pic xmlns:pic="http://schemas.openxmlformats.org/drawingml/2006/picture">
                        <pic:nvPicPr>
                          <pic:cNvPr id="88" name="图片_38"/>
                          <pic:cNvPicPr/>
                        </pic:nvPicPr>
                        <pic:blipFill>
                          <a:blip r:embed="rId52"/>
                          <a:stretch>
                            <a:fillRect/>
                          </a:stretch>
                        </pic:blipFill>
                        <pic:spPr>
                          <a:xfrm>
                            <a:off x="0" y="0"/>
                            <a:ext cx="936625" cy="61341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20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50</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白色毛巾</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条</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纯棉纱，细毛圈工艺，吸水强，亲肤舒适，</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55880</wp:posOffset>
                  </wp:positionH>
                  <wp:positionV relativeFrom="paragraph">
                    <wp:posOffset>102870</wp:posOffset>
                  </wp:positionV>
                  <wp:extent cx="1040130" cy="513080"/>
                  <wp:effectExtent l="0" t="0" r="7620" b="1270"/>
                  <wp:wrapNone/>
                  <wp:docPr id="89" name="图片_46"/>
                  <wp:cNvGraphicFramePr/>
                  <a:graphic xmlns:a="http://schemas.openxmlformats.org/drawingml/2006/main">
                    <a:graphicData uri="http://schemas.openxmlformats.org/drawingml/2006/picture">
                      <pic:pic xmlns:pic="http://schemas.openxmlformats.org/drawingml/2006/picture">
                        <pic:nvPicPr>
                          <pic:cNvPr id="89" name="图片_46"/>
                          <pic:cNvPicPr/>
                        </pic:nvPicPr>
                        <pic:blipFill>
                          <a:blip r:embed="rId53"/>
                          <a:stretch>
                            <a:fillRect/>
                          </a:stretch>
                        </pic:blipFill>
                        <pic:spPr>
                          <a:xfrm>
                            <a:off x="0" y="0"/>
                            <a:ext cx="1040130" cy="51308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20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51</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咖色毛巾</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条</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纯棉纱，细毛圈工艺，吸水强，亲肤舒适，</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135255</wp:posOffset>
                  </wp:positionH>
                  <wp:positionV relativeFrom="paragraph">
                    <wp:posOffset>40005</wp:posOffset>
                  </wp:positionV>
                  <wp:extent cx="851535" cy="641350"/>
                  <wp:effectExtent l="0" t="0" r="5715" b="6350"/>
                  <wp:wrapNone/>
                  <wp:docPr id="90" name="图片_47"/>
                  <wp:cNvGraphicFramePr/>
                  <a:graphic xmlns:a="http://schemas.openxmlformats.org/drawingml/2006/main">
                    <a:graphicData uri="http://schemas.openxmlformats.org/drawingml/2006/picture">
                      <pic:pic xmlns:pic="http://schemas.openxmlformats.org/drawingml/2006/picture">
                        <pic:nvPicPr>
                          <pic:cNvPr id="90" name="图片_47"/>
                          <pic:cNvPicPr/>
                        </pic:nvPicPr>
                        <pic:blipFill>
                          <a:blip r:embed="rId54"/>
                          <a:stretch>
                            <a:fillRect/>
                          </a:stretch>
                        </pic:blipFill>
                        <pic:spPr>
                          <a:xfrm>
                            <a:off x="0" y="0"/>
                            <a:ext cx="851535" cy="64135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20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52</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兰色</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条</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纯棉纱，细毛圈工艺，吸水强，亲肤舒适，</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105410</wp:posOffset>
                  </wp:positionH>
                  <wp:positionV relativeFrom="paragraph">
                    <wp:posOffset>149225</wp:posOffset>
                  </wp:positionV>
                  <wp:extent cx="911225" cy="439420"/>
                  <wp:effectExtent l="0" t="0" r="3175" b="17780"/>
                  <wp:wrapNone/>
                  <wp:docPr id="91" name="图片_48"/>
                  <wp:cNvGraphicFramePr/>
                  <a:graphic xmlns:a="http://schemas.openxmlformats.org/drawingml/2006/main">
                    <a:graphicData uri="http://schemas.openxmlformats.org/drawingml/2006/picture">
                      <pic:pic xmlns:pic="http://schemas.openxmlformats.org/drawingml/2006/picture">
                        <pic:nvPicPr>
                          <pic:cNvPr id="91" name="图片_48"/>
                          <pic:cNvPicPr/>
                        </pic:nvPicPr>
                        <pic:blipFill>
                          <a:blip r:embed="rId55"/>
                          <a:stretch>
                            <a:fillRect/>
                          </a:stretch>
                        </pic:blipFill>
                        <pic:spPr>
                          <a:xfrm>
                            <a:off x="0" y="0"/>
                            <a:ext cx="911225" cy="43942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20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53</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橙色</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条</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纯棉纱，细毛圈工艺，吸水强，亲肤舒适，</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182245</wp:posOffset>
                  </wp:positionH>
                  <wp:positionV relativeFrom="paragraph">
                    <wp:posOffset>79375</wp:posOffset>
                  </wp:positionV>
                  <wp:extent cx="598170" cy="612775"/>
                  <wp:effectExtent l="0" t="0" r="11430" b="15875"/>
                  <wp:wrapNone/>
                  <wp:docPr id="92" name="图片_49"/>
                  <wp:cNvGraphicFramePr/>
                  <a:graphic xmlns:a="http://schemas.openxmlformats.org/drawingml/2006/main">
                    <a:graphicData uri="http://schemas.openxmlformats.org/drawingml/2006/picture">
                      <pic:pic xmlns:pic="http://schemas.openxmlformats.org/drawingml/2006/picture">
                        <pic:nvPicPr>
                          <pic:cNvPr id="92" name="图片_49"/>
                          <pic:cNvPicPr/>
                        </pic:nvPicPr>
                        <pic:blipFill>
                          <a:blip r:embed="rId56"/>
                          <a:stretch>
                            <a:fillRect/>
                          </a:stretch>
                        </pic:blipFill>
                        <pic:spPr>
                          <a:xfrm>
                            <a:off x="0" y="0"/>
                            <a:ext cx="598170" cy="61277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238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54</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切肉机</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台</w:t>
            </w:r>
          </w:p>
        </w:tc>
        <w:tc>
          <w:tcPr>
            <w:tcW w:w="25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具备切肉、绞肉的独立功能，又可同时一切肉与绞肉。该机其主要特点是：具有结构紧凑，外型美观，效率高，清洁保养容易，安全卫生等特点。是宾馆、饭店、肉类加工厂，部队、学校、机关食堂等单位加工无骨肉类的理想加工机械。绞切肉两用机采用全不锈钢制造，更适合高品质的客户使用，并延长了机器的使用寿命。                                                          产量400kg/h，不锈钢外壳，铸铁电镀，包含设备电缆电线及辅材电线电路接驳安装、运输费、人工费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79375</wp:posOffset>
                  </wp:positionH>
                  <wp:positionV relativeFrom="paragraph">
                    <wp:posOffset>278765</wp:posOffset>
                  </wp:positionV>
                  <wp:extent cx="982345" cy="1002665"/>
                  <wp:effectExtent l="0" t="0" r="8255" b="6985"/>
                  <wp:wrapNone/>
                  <wp:docPr id="93" name="图片_86"/>
                  <wp:cNvGraphicFramePr/>
                  <a:graphic xmlns:a="http://schemas.openxmlformats.org/drawingml/2006/main">
                    <a:graphicData uri="http://schemas.openxmlformats.org/drawingml/2006/picture">
                      <pic:pic xmlns:pic="http://schemas.openxmlformats.org/drawingml/2006/picture">
                        <pic:nvPicPr>
                          <pic:cNvPr id="93" name="图片_86"/>
                          <pic:cNvPicPr/>
                        </pic:nvPicPr>
                        <pic:blipFill>
                          <a:blip r:embed="rId57"/>
                          <a:stretch>
                            <a:fillRect/>
                          </a:stretch>
                        </pic:blipFill>
                        <pic:spPr>
                          <a:xfrm>
                            <a:off x="0" y="0"/>
                            <a:ext cx="982345" cy="100266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273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55</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电动石磨机</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台</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功率：220V/370W,上盘30*下盘45，</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可升降电动石磨，升降磨盘，纯铜电机，无人值守。</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添加刮浆板，可实现自动扫浆，方便快捷节省时间。</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添加高精度可旋转水龙头，水量调节方便加水适宜。</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可升降磨盘，能控制出料粗细，清洗磨盘更加轻松。</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含电缆电线接接驳，含进水管接驳,含运输费，安装费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72390</wp:posOffset>
                  </wp:positionH>
                  <wp:positionV relativeFrom="paragraph">
                    <wp:posOffset>415925</wp:posOffset>
                  </wp:positionV>
                  <wp:extent cx="949325" cy="813435"/>
                  <wp:effectExtent l="0" t="0" r="3175" b="5715"/>
                  <wp:wrapNone/>
                  <wp:docPr id="94" name="图片_87"/>
                  <wp:cNvGraphicFramePr/>
                  <a:graphic xmlns:a="http://schemas.openxmlformats.org/drawingml/2006/main">
                    <a:graphicData uri="http://schemas.openxmlformats.org/drawingml/2006/picture">
                      <pic:pic xmlns:pic="http://schemas.openxmlformats.org/drawingml/2006/picture">
                        <pic:nvPicPr>
                          <pic:cNvPr id="94" name="图片_87"/>
                          <pic:cNvPicPr/>
                        </pic:nvPicPr>
                        <pic:blipFill>
                          <a:blip r:embed="rId58"/>
                          <a:stretch>
                            <a:fillRect/>
                          </a:stretch>
                        </pic:blipFill>
                        <pic:spPr>
                          <a:xfrm>
                            <a:off x="0" y="0"/>
                            <a:ext cx="949325" cy="81343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225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56</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四门高身雪柜</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台</w:t>
            </w:r>
          </w:p>
        </w:tc>
        <w:tc>
          <w:tcPr>
            <w:tcW w:w="25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外壳采用不锈钢板，加厚保温层采用环保发泡材料，符合环保要求，配置进口优质双压缩机组，运行稳定，制冷快速；304#不锈钢层架，风扇起止控制器，化霜水蒸气系统，全铜管制冷系统，自动回门系统，恒温控制器，采用节能设计，有效减少耗电量，聚胺脂发泡夹层保温；使用高效、低噪音压缩机，冷藏温度-5～+10℃ ，冷冻温度-15～-6℃ ，铜管制冷，电压/功率：0.5KW/220V；容积（L）：790L;                                      包含设备的安装、运输费、人工费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90805</wp:posOffset>
                  </wp:positionH>
                  <wp:positionV relativeFrom="paragraph">
                    <wp:posOffset>243840</wp:posOffset>
                  </wp:positionV>
                  <wp:extent cx="964565" cy="1176020"/>
                  <wp:effectExtent l="0" t="0" r="6985" b="5080"/>
                  <wp:wrapNone/>
                  <wp:docPr id="95" name="图片_53"/>
                  <wp:cNvGraphicFramePr/>
                  <a:graphic xmlns:a="http://schemas.openxmlformats.org/drawingml/2006/main">
                    <a:graphicData uri="http://schemas.openxmlformats.org/drawingml/2006/picture">
                      <pic:pic xmlns:pic="http://schemas.openxmlformats.org/drawingml/2006/picture">
                        <pic:nvPicPr>
                          <pic:cNvPr id="95" name="图片_53"/>
                          <pic:cNvPicPr/>
                        </pic:nvPicPr>
                        <pic:blipFill>
                          <a:blip r:embed="rId59"/>
                          <a:stretch>
                            <a:fillRect/>
                          </a:stretch>
                        </pic:blipFill>
                        <pic:spPr>
                          <a:xfrm>
                            <a:off x="0" y="0"/>
                            <a:ext cx="964565" cy="117602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2022"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57</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304#不锈钢食品级汤匙</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2500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条</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用料说明：不锈钢304#                                产品通过“GB/T29601-2013《不锈钢器皿》   GB4806.9-2016《食品安全国家标准  食品接触用金属材料及制品》   GB/T3280-2015《不锈钢冷轧钢板和钢带》”</w:t>
            </w:r>
          </w:p>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产品通过GB/T29601-2013《不锈钢器皿》     GB 4806.9-2016《食品安全国家标准 食品接触用金属材料及制品》含运输费，人工费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55880</wp:posOffset>
                  </wp:positionH>
                  <wp:positionV relativeFrom="paragraph">
                    <wp:posOffset>422275</wp:posOffset>
                  </wp:positionV>
                  <wp:extent cx="1033145" cy="379095"/>
                  <wp:effectExtent l="0" t="0" r="14605" b="1905"/>
                  <wp:wrapNone/>
                  <wp:docPr id="96" name="图片_88"/>
                  <wp:cNvGraphicFramePr/>
                  <a:graphic xmlns:a="http://schemas.openxmlformats.org/drawingml/2006/main">
                    <a:graphicData uri="http://schemas.openxmlformats.org/drawingml/2006/picture">
                      <pic:pic xmlns:pic="http://schemas.openxmlformats.org/drawingml/2006/picture">
                        <pic:nvPicPr>
                          <pic:cNvPr id="96" name="图片_88"/>
                          <pic:cNvPicPr/>
                        </pic:nvPicPr>
                        <pic:blipFill>
                          <a:blip r:embed="rId60"/>
                          <a:stretch>
                            <a:fillRect/>
                          </a:stretch>
                        </pic:blipFill>
                        <pic:spPr>
                          <a:xfrm>
                            <a:off x="0" y="0"/>
                            <a:ext cx="1033145" cy="37909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80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58</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304#不锈钢食品级菜夹</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食品级304#材质，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304食品级不锈钢，不发霉，不藏菌，不易生锈，不变形，好清洗，耐高温，更耐用。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内置弹簧，夹取更省力，</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一体式设计，不会脱松，更加耐用。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45720</wp:posOffset>
                  </wp:positionH>
                  <wp:positionV relativeFrom="paragraph">
                    <wp:posOffset>287655</wp:posOffset>
                  </wp:positionV>
                  <wp:extent cx="1038225" cy="353060"/>
                  <wp:effectExtent l="0" t="0" r="9525" b="8890"/>
                  <wp:wrapNone/>
                  <wp:docPr id="97" name="图片_89"/>
                  <wp:cNvGraphicFramePr/>
                  <a:graphic xmlns:a="http://schemas.openxmlformats.org/drawingml/2006/main">
                    <a:graphicData uri="http://schemas.openxmlformats.org/drawingml/2006/picture">
                      <pic:pic xmlns:pic="http://schemas.openxmlformats.org/drawingml/2006/picture">
                        <pic:nvPicPr>
                          <pic:cNvPr id="97" name="图片_89"/>
                          <pic:cNvPicPr/>
                        </pic:nvPicPr>
                        <pic:blipFill>
                          <a:blip r:embed="rId61"/>
                          <a:stretch>
                            <a:fillRect/>
                          </a:stretch>
                        </pic:blipFill>
                        <pic:spPr>
                          <a:xfrm>
                            <a:off x="0" y="0"/>
                            <a:ext cx="1038225" cy="35306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759"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59</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304#不锈钢食品级无盖餐盘</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500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用料说明：不锈钢304#                                产品通过“GB/T29601-2013《不锈钢器皿》   GB4806.9-2016《食品安全国家标准  食品接触用金属材料及制品》   GB/T3280-2015《不锈钢冷轧钢板和钢带》”</w:t>
            </w:r>
          </w:p>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产品通过GB/T29601-2013《不锈钢器皿》     GB 4806.9-2016《食品安全国家标准 食品接触用金属材料及制品》提供由检测机构出具的合格测试报告扫描件，包含运输费、人工费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46355</wp:posOffset>
                  </wp:positionH>
                  <wp:positionV relativeFrom="paragraph">
                    <wp:posOffset>306705</wp:posOffset>
                  </wp:positionV>
                  <wp:extent cx="1015365" cy="685800"/>
                  <wp:effectExtent l="0" t="0" r="13335" b="0"/>
                  <wp:wrapNone/>
                  <wp:docPr id="98" name="图片_90"/>
                  <wp:cNvGraphicFramePr/>
                  <a:graphic xmlns:a="http://schemas.openxmlformats.org/drawingml/2006/main">
                    <a:graphicData uri="http://schemas.openxmlformats.org/drawingml/2006/picture">
                      <pic:pic xmlns:pic="http://schemas.openxmlformats.org/drawingml/2006/picture">
                        <pic:nvPicPr>
                          <pic:cNvPr id="98" name="图片_90"/>
                          <pic:cNvPicPr/>
                        </pic:nvPicPr>
                        <pic:blipFill>
                          <a:blip r:embed="rId13"/>
                          <a:stretch>
                            <a:fillRect/>
                          </a:stretch>
                        </pic:blipFill>
                        <pic:spPr>
                          <a:xfrm>
                            <a:off x="0" y="0"/>
                            <a:ext cx="1015365" cy="68580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999"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60</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304#不锈钢回收餐车</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台</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 xml:space="preserve">规格：800*600*800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用料说明：不锈钢304#</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 xml:space="preserve">面采用304#1.2mm不锈钢磨砂贴塑板，激光切割整体折弯焊接而成，分上下二层收纳，不锈钢机制件加固，配静音重力活动轮4个；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包含设备的安装、运输费、人工费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64135</wp:posOffset>
                  </wp:positionH>
                  <wp:positionV relativeFrom="paragraph">
                    <wp:posOffset>67310</wp:posOffset>
                  </wp:positionV>
                  <wp:extent cx="957580" cy="665480"/>
                  <wp:effectExtent l="0" t="0" r="13970" b="1270"/>
                  <wp:wrapNone/>
                  <wp:docPr id="99" name="图片_91"/>
                  <wp:cNvGraphicFramePr/>
                  <a:graphic xmlns:a="http://schemas.openxmlformats.org/drawingml/2006/main">
                    <a:graphicData uri="http://schemas.openxmlformats.org/drawingml/2006/picture">
                      <pic:pic xmlns:pic="http://schemas.openxmlformats.org/drawingml/2006/picture">
                        <pic:nvPicPr>
                          <pic:cNvPr id="99" name="图片_91"/>
                          <pic:cNvPicPr/>
                        </pic:nvPicPr>
                        <pic:blipFill>
                          <a:blip r:embed="rId30"/>
                          <a:stretch>
                            <a:fillRect/>
                          </a:stretch>
                        </pic:blipFill>
                        <pic:spPr>
                          <a:xfrm>
                            <a:off x="0" y="0"/>
                            <a:ext cx="957580" cy="66548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44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61</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桑刀</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把</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食品级不锈钢。</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刀柄采用原木，（生长巨大，吸水性能好，尽显舒适自然心境。）不染色，无化学浸泡，手感极佳，健康无污染。</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食品级不锈钢材质防止生锈。</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81280</wp:posOffset>
                  </wp:positionH>
                  <wp:positionV relativeFrom="paragraph">
                    <wp:posOffset>34925</wp:posOffset>
                  </wp:positionV>
                  <wp:extent cx="981075" cy="492760"/>
                  <wp:effectExtent l="0" t="0" r="9525" b="2540"/>
                  <wp:wrapNone/>
                  <wp:docPr id="100" name="图片_92"/>
                  <wp:cNvGraphicFramePr/>
                  <a:graphic xmlns:a="http://schemas.openxmlformats.org/drawingml/2006/main">
                    <a:graphicData uri="http://schemas.openxmlformats.org/drawingml/2006/picture">
                      <pic:pic xmlns:pic="http://schemas.openxmlformats.org/drawingml/2006/picture">
                        <pic:nvPicPr>
                          <pic:cNvPr id="100" name="图片_92"/>
                          <pic:cNvPicPr/>
                        </pic:nvPicPr>
                        <pic:blipFill>
                          <a:blip r:embed="rId29"/>
                          <a:stretch>
                            <a:fillRect/>
                          </a:stretch>
                        </pic:blipFill>
                        <pic:spPr>
                          <a:xfrm>
                            <a:off x="0" y="0"/>
                            <a:ext cx="981075" cy="49276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74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62</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不锈钢食品级水壶</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采用1.0mm不锈钢板冲压而成，</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水开自动鸣笛。</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不锈钢材质不仅健康安全，而且导热速度快。</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螺旋壶底，加热更快。</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舒适提式手柄，经典电木手柄，人体工程学原理，握感舒适，隔热防烫</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167005</wp:posOffset>
                  </wp:positionH>
                  <wp:positionV relativeFrom="paragraph">
                    <wp:posOffset>212725</wp:posOffset>
                  </wp:positionV>
                  <wp:extent cx="821055" cy="695960"/>
                  <wp:effectExtent l="0" t="0" r="17145" b="8890"/>
                  <wp:wrapNone/>
                  <wp:docPr id="101" name="图片_93"/>
                  <wp:cNvGraphicFramePr/>
                  <a:graphic xmlns:a="http://schemas.openxmlformats.org/drawingml/2006/main">
                    <a:graphicData uri="http://schemas.openxmlformats.org/drawingml/2006/picture">
                      <pic:pic xmlns:pic="http://schemas.openxmlformats.org/drawingml/2006/picture">
                        <pic:nvPicPr>
                          <pic:cNvPr id="101" name="图片_93"/>
                          <pic:cNvPicPr/>
                        </pic:nvPicPr>
                        <pic:blipFill>
                          <a:blip r:embed="rId62"/>
                          <a:stretch>
                            <a:fillRect/>
                          </a:stretch>
                        </pic:blipFill>
                        <pic:spPr>
                          <a:xfrm>
                            <a:off x="0" y="0"/>
                            <a:ext cx="821055" cy="69596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24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63</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消毒柜</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台</w:t>
            </w:r>
          </w:p>
        </w:tc>
        <w:tc>
          <w:tcPr>
            <w:tcW w:w="25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容量：65L，规格：425*365*800，高温双门台式消毒柜，面板材质：钢化玻璃面板，（含运费，不含电线线路接驳）</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p>
        </w:tc>
      </w:tr>
      <w:tr>
        <w:tblPrEx>
          <w:tblCellMar>
            <w:top w:w="0" w:type="dxa"/>
            <w:left w:w="0" w:type="dxa"/>
            <w:bottom w:w="0" w:type="dxa"/>
            <w:right w:w="0" w:type="dxa"/>
          </w:tblCellMar>
        </w:tblPrEx>
        <w:trPr>
          <w:trHeight w:val="9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64</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咖啡机</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台</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规格：220*323*420 全自动现磨一体带咖啡豆研磨功能，功率：1000W,水箱容量：1.2L，顏色：不锈钢（含运费，不含电线线路接驳）</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p>
        </w:tc>
      </w:tr>
      <w:tr>
        <w:tblPrEx>
          <w:tblCellMar>
            <w:top w:w="0" w:type="dxa"/>
            <w:left w:w="0" w:type="dxa"/>
            <w:bottom w:w="0" w:type="dxa"/>
            <w:right w:w="0" w:type="dxa"/>
          </w:tblCellMar>
        </w:tblPrEx>
        <w:trPr>
          <w:trHeight w:val="135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65</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平板推车</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台</w:t>
            </w:r>
          </w:p>
        </w:tc>
        <w:tc>
          <w:tcPr>
            <w:tcW w:w="25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 xml:space="preserve">用料说明：304#材质  </w:t>
            </w:r>
          </w:p>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面板采用304#1.2mm不锈钢板，激光切割整体折弯焊接而成；推手采用304#DN38不锈钢圆通制作而成，配强力活动脚轮；（所有原材料生产厂家必须符合国家环保要求，保证供货质量）包含设备的安装、运输费、人工费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234315</wp:posOffset>
                  </wp:positionH>
                  <wp:positionV relativeFrom="paragraph">
                    <wp:posOffset>136525</wp:posOffset>
                  </wp:positionV>
                  <wp:extent cx="700405" cy="643890"/>
                  <wp:effectExtent l="0" t="0" r="4445" b="3810"/>
                  <wp:wrapNone/>
                  <wp:docPr id="104" name="图片_54"/>
                  <wp:cNvGraphicFramePr/>
                  <a:graphic xmlns:a="http://schemas.openxmlformats.org/drawingml/2006/main">
                    <a:graphicData uri="http://schemas.openxmlformats.org/drawingml/2006/picture">
                      <pic:pic xmlns:pic="http://schemas.openxmlformats.org/drawingml/2006/picture">
                        <pic:nvPicPr>
                          <pic:cNvPr id="104" name="图片_54"/>
                          <pic:cNvPicPr/>
                        </pic:nvPicPr>
                        <pic:blipFill>
                          <a:blip r:embed="rId63"/>
                          <a:stretch>
                            <a:fillRect/>
                          </a:stretch>
                        </pic:blipFill>
                        <pic:spPr>
                          <a:xfrm>
                            <a:off x="0" y="0"/>
                            <a:ext cx="700405" cy="64389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57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66</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四层存放架</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台</w:t>
            </w:r>
          </w:p>
        </w:tc>
        <w:tc>
          <w:tcPr>
            <w:tcW w:w="25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材质:304#1.0mm不锈钢层板，主架采用304#不锈钢50mm×50mm厚度1.1mm±0.25mm方管；支管采用 304#不锈钢25mm×25mm 厚度1.0mm±0.25mm方管，间距50mm；配不锈钢可调子弹脚可调节5公分高度；（所有原材料生产厂家必须符合国家环保要求，保证供货质量）包含设备的安装、运输费、人工费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100965</wp:posOffset>
                  </wp:positionH>
                  <wp:positionV relativeFrom="paragraph">
                    <wp:posOffset>127000</wp:posOffset>
                  </wp:positionV>
                  <wp:extent cx="882650" cy="873125"/>
                  <wp:effectExtent l="0" t="0" r="12700" b="3175"/>
                  <wp:wrapNone/>
                  <wp:docPr id="105" name="Picture_360"/>
                  <wp:cNvGraphicFramePr/>
                  <a:graphic xmlns:a="http://schemas.openxmlformats.org/drawingml/2006/main">
                    <a:graphicData uri="http://schemas.openxmlformats.org/drawingml/2006/picture">
                      <pic:pic xmlns:pic="http://schemas.openxmlformats.org/drawingml/2006/picture">
                        <pic:nvPicPr>
                          <pic:cNvPr id="105" name="Picture_360"/>
                          <pic:cNvPicPr/>
                        </pic:nvPicPr>
                        <pic:blipFill>
                          <a:blip r:embed="rId64"/>
                          <a:stretch>
                            <a:fillRect/>
                          </a:stretch>
                        </pic:blipFill>
                        <pic:spPr>
                          <a:xfrm>
                            <a:off x="0" y="0"/>
                            <a:ext cx="882650" cy="87312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12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67</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吹干机</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台</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功率：1000W/220V,三档调速，配电源线5米，底部加高防震胶垫，涡轮设计，产生更大空气流量提高工作效益，配马达网罩，防止马达吸进杂物，包含运输费、人工费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246380</wp:posOffset>
                  </wp:positionH>
                  <wp:positionV relativeFrom="paragraph">
                    <wp:posOffset>39370</wp:posOffset>
                  </wp:positionV>
                  <wp:extent cx="347345" cy="645160"/>
                  <wp:effectExtent l="0" t="0" r="14605" b="2540"/>
                  <wp:wrapNone/>
                  <wp:docPr id="106" name="图片_62"/>
                  <wp:cNvGraphicFramePr/>
                  <a:graphic xmlns:a="http://schemas.openxmlformats.org/drawingml/2006/main">
                    <a:graphicData uri="http://schemas.openxmlformats.org/drawingml/2006/picture">
                      <pic:pic xmlns:pic="http://schemas.openxmlformats.org/drawingml/2006/picture">
                        <pic:nvPicPr>
                          <pic:cNvPr id="106" name="图片_62"/>
                          <pic:cNvPicPr/>
                        </pic:nvPicPr>
                        <pic:blipFill>
                          <a:blip r:embed="rId65"/>
                          <a:stretch>
                            <a:fillRect/>
                          </a:stretch>
                        </pic:blipFill>
                        <pic:spPr>
                          <a:xfrm>
                            <a:off x="0" y="0"/>
                            <a:ext cx="347345" cy="64516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12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68</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美的落地扇</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台</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功率：60W/220V，</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优质电机，三档调速，左右摇头，操作便捷，远距离送风，减震消音，经久耐用，包含运输费、人工费，不含电线电路接驳</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333375</wp:posOffset>
                  </wp:positionH>
                  <wp:positionV relativeFrom="paragraph">
                    <wp:posOffset>79375</wp:posOffset>
                  </wp:positionV>
                  <wp:extent cx="332105" cy="541020"/>
                  <wp:effectExtent l="0" t="0" r="10795" b="11430"/>
                  <wp:wrapNone/>
                  <wp:docPr id="107" name="图片_63"/>
                  <wp:cNvGraphicFramePr/>
                  <a:graphic xmlns:a="http://schemas.openxmlformats.org/drawingml/2006/main">
                    <a:graphicData uri="http://schemas.openxmlformats.org/drawingml/2006/picture">
                      <pic:pic xmlns:pic="http://schemas.openxmlformats.org/drawingml/2006/picture">
                        <pic:nvPicPr>
                          <pic:cNvPr id="107" name="图片_63"/>
                          <pic:cNvPicPr/>
                        </pic:nvPicPr>
                        <pic:blipFill>
                          <a:blip r:embed="rId66"/>
                          <a:stretch>
                            <a:fillRect/>
                          </a:stretch>
                        </pic:blipFill>
                        <pic:spPr>
                          <a:xfrm>
                            <a:off x="0" y="0"/>
                            <a:ext cx="332105" cy="54102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662"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69</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不绣钢水龙头</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产品材质：304#不锈钢,ABS材质，表面处理：金属拉丝工艺，内阀体全铜，使用方便，包含运输费、人工费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319405</wp:posOffset>
                  </wp:positionH>
                  <wp:positionV relativeFrom="paragraph">
                    <wp:posOffset>241935</wp:posOffset>
                  </wp:positionV>
                  <wp:extent cx="360045" cy="598170"/>
                  <wp:effectExtent l="0" t="0" r="1905" b="11430"/>
                  <wp:wrapNone/>
                  <wp:docPr id="16" name="图片_76"/>
                  <wp:cNvGraphicFramePr/>
                  <a:graphic xmlns:a="http://schemas.openxmlformats.org/drawingml/2006/main">
                    <a:graphicData uri="http://schemas.openxmlformats.org/drawingml/2006/picture">
                      <pic:pic xmlns:pic="http://schemas.openxmlformats.org/drawingml/2006/picture">
                        <pic:nvPicPr>
                          <pic:cNvPr id="16" name="图片_76"/>
                          <pic:cNvPicPr/>
                        </pic:nvPicPr>
                        <pic:blipFill>
                          <a:blip r:embed="rId67"/>
                          <a:stretch>
                            <a:fillRect/>
                          </a:stretch>
                        </pic:blipFill>
                        <pic:spPr>
                          <a:xfrm>
                            <a:off x="0" y="0"/>
                            <a:ext cx="360045" cy="59817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12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70</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餐厨垃圾桶</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封闭式开合带盖结构，轮子采用橡胶加工设计，韧性更强，更静音，更防滑耐磨，分类标识明显，便于投放垃圾，产品类型120L,产品长度：55*49*96CM,包含运输费、人工费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224790</wp:posOffset>
                  </wp:positionH>
                  <wp:positionV relativeFrom="paragraph">
                    <wp:posOffset>38735</wp:posOffset>
                  </wp:positionV>
                  <wp:extent cx="501015" cy="675005"/>
                  <wp:effectExtent l="0" t="0" r="13335" b="10795"/>
                  <wp:wrapNone/>
                  <wp:docPr id="17" name="图片_64"/>
                  <wp:cNvGraphicFramePr/>
                  <a:graphic xmlns:a="http://schemas.openxmlformats.org/drawingml/2006/main">
                    <a:graphicData uri="http://schemas.openxmlformats.org/drawingml/2006/picture">
                      <pic:pic xmlns:pic="http://schemas.openxmlformats.org/drawingml/2006/picture">
                        <pic:nvPicPr>
                          <pic:cNvPr id="17" name="图片_64"/>
                          <pic:cNvPicPr/>
                        </pic:nvPicPr>
                        <pic:blipFill>
                          <a:blip r:embed="rId68"/>
                          <a:stretch>
                            <a:fillRect/>
                          </a:stretch>
                        </pic:blipFill>
                        <pic:spPr>
                          <a:xfrm>
                            <a:off x="0" y="0"/>
                            <a:ext cx="501015" cy="67500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324"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71</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蓝色带耳胶筐</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25</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规格:65*46*35CM，优质材料加厚蔬菜水果胶筐，抗折，抗老化，耐酸碱，耐油污，沥水快,包含运输费、人工费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102235</wp:posOffset>
                  </wp:positionH>
                  <wp:positionV relativeFrom="paragraph">
                    <wp:posOffset>48260</wp:posOffset>
                  </wp:positionV>
                  <wp:extent cx="636905" cy="645795"/>
                  <wp:effectExtent l="0" t="0" r="10795" b="1905"/>
                  <wp:wrapNone/>
                  <wp:docPr id="18" name="图片_65"/>
                  <wp:cNvGraphicFramePr/>
                  <a:graphic xmlns:a="http://schemas.openxmlformats.org/drawingml/2006/main">
                    <a:graphicData uri="http://schemas.openxmlformats.org/drawingml/2006/picture">
                      <pic:pic xmlns:pic="http://schemas.openxmlformats.org/drawingml/2006/picture">
                        <pic:nvPicPr>
                          <pic:cNvPr id="18" name="图片_65"/>
                          <pic:cNvPicPr/>
                        </pic:nvPicPr>
                        <pic:blipFill>
                          <a:blip r:embed="rId69"/>
                          <a:stretch>
                            <a:fillRect/>
                          </a:stretch>
                        </pic:blipFill>
                        <pic:spPr>
                          <a:xfrm>
                            <a:off x="0" y="0"/>
                            <a:ext cx="636905" cy="64579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506"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72</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白色胶蓝</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优质HDPE材料一次注塑而成，    规格:402*311*123,</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侧面加强筋设计：受力更强，不易变形。</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after="0"/>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259715</wp:posOffset>
                  </wp:positionH>
                  <wp:positionV relativeFrom="paragraph">
                    <wp:posOffset>182245</wp:posOffset>
                  </wp:positionV>
                  <wp:extent cx="743585" cy="608330"/>
                  <wp:effectExtent l="0" t="0" r="18415" b="1270"/>
                  <wp:wrapNone/>
                  <wp:docPr id="19" name="图片_81"/>
                  <wp:cNvGraphicFramePr/>
                  <a:graphic xmlns:a="http://schemas.openxmlformats.org/drawingml/2006/main">
                    <a:graphicData uri="http://schemas.openxmlformats.org/drawingml/2006/picture">
                      <pic:pic xmlns:pic="http://schemas.openxmlformats.org/drawingml/2006/picture">
                        <pic:nvPicPr>
                          <pic:cNvPr id="19" name="图片_81"/>
                          <pic:cNvPicPr/>
                        </pic:nvPicPr>
                        <pic:blipFill>
                          <a:blip r:embed="rId70"/>
                          <a:stretch>
                            <a:fillRect/>
                          </a:stretch>
                        </pic:blipFill>
                        <pic:spPr>
                          <a:xfrm>
                            <a:off x="0" y="0"/>
                            <a:ext cx="743585" cy="60833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60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73</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红色胶蓝</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优质HDPE材料一次注塑而成，</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材质安全环保：健康环保，五毒无味，</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框体加强筋设计，更加牢固，不易变形。</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细密沥水孔：快速沥水不易残留</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边框圆滑厚实。</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 xml:space="preserve"> 规格402*311*123,包含运输费、人工费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179705</wp:posOffset>
                  </wp:positionH>
                  <wp:positionV relativeFrom="paragraph">
                    <wp:posOffset>239395</wp:posOffset>
                  </wp:positionV>
                  <wp:extent cx="692785" cy="590550"/>
                  <wp:effectExtent l="0" t="0" r="12065" b="0"/>
                  <wp:wrapNone/>
                  <wp:docPr id="20" name="图片_80"/>
                  <wp:cNvGraphicFramePr/>
                  <a:graphic xmlns:a="http://schemas.openxmlformats.org/drawingml/2006/main">
                    <a:graphicData uri="http://schemas.openxmlformats.org/drawingml/2006/picture">
                      <pic:pic xmlns:pic="http://schemas.openxmlformats.org/drawingml/2006/picture">
                        <pic:nvPicPr>
                          <pic:cNvPr id="20" name="图片_80"/>
                          <pic:cNvPicPr/>
                        </pic:nvPicPr>
                        <pic:blipFill>
                          <a:blip r:embed="rId71"/>
                          <a:stretch>
                            <a:fillRect/>
                          </a:stretch>
                        </pic:blipFill>
                        <pic:spPr>
                          <a:xfrm>
                            <a:off x="0" y="0"/>
                            <a:ext cx="692785" cy="59055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90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74</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四分胶水管</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卷</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规格：19*24MM*50米  采用进口韧性增强的PVC材料和高级拉力聚脂增强线制造，耐腐蚀耐硬化，耐破裂等，包含运输费、人工费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135255</wp:posOffset>
                  </wp:positionH>
                  <wp:positionV relativeFrom="paragraph">
                    <wp:posOffset>79375</wp:posOffset>
                  </wp:positionV>
                  <wp:extent cx="692785" cy="491490"/>
                  <wp:effectExtent l="0" t="0" r="12065" b="3810"/>
                  <wp:wrapNone/>
                  <wp:docPr id="21" name="图片_68"/>
                  <wp:cNvGraphicFramePr/>
                  <a:graphic xmlns:a="http://schemas.openxmlformats.org/drawingml/2006/main">
                    <a:graphicData uri="http://schemas.openxmlformats.org/drawingml/2006/picture">
                      <pic:pic xmlns:pic="http://schemas.openxmlformats.org/drawingml/2006/picture">
                        <pic:nvPicPr>
                          <pic:cNvPr id="21" name="图片_68"/>
                          <pic:cNvPicPr/>
                        </pic:nvPicPr>
                        <pic:blipFill>
                          <a:blip r:embed="rId72"/>
                          <a:stretch>
                            <a:fillRect/>
                          </a:stretch>
                        </pic:blipFill>
                        <pic:spPr>
                          <a:xfrm>
                            <a:off x="0" y="0"/>
                            <a:ext cx="692785" cy="49149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57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75</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垃圾斗</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采作镀锌钢材料，</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提手弧形设计，使用方便,</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前端为阶梯式设计，可轻易清理灰尘，镀锌钢材质使其更加坚固，不易变形，可更强增加其使用寿命。</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245745</wp:posOffset>
                  </wp:positionH>
                  <wp:positionV relativeFrom="paragraph">
                    <wp:posOffset>79375</wp:posOffset>
                  </wp:positionV>
                  <wp:extent cx="490220" cy="594360"/>
                  <wp:effectExtent l="0" t="0" r="5080" b="15240"/>
                  <wp:wrapNone/>
                  <wp:docPr id="22" name="图片_67"/>
                  <wp:cNvGraphicFramePr/>
                  <a:graphic xmlns:a="http://schemas.openxmlformats.org/drawingml/2006/main">
                    <a:graphicData uri="http://schemas.openxmlformats.org/drawingml/2006/picture">
                      <pic:pic xmlns:pic="http://schemas.openxmlformats.org/drawingml/2006/picture">
                        <pic:nvPicPr>
                          <pic:cNvPr id="22" name="图片_67"/>
                          <pic:cNvPicPr/>
                        </pic:nvPicPr>
                        <pic:blipFill>
                          <a:blip r:embed="rId73"/>
                          <a:stretch>
                            <a:fillRect/>
                          </a:stretch>
                        </pic:blipFill>
                        <pic:spPr>
                          <a:xfrm>
                            <a:off x="0" y="0"/>
                            <a:ext cx="490220" cy="59436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57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76</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砍骨刀</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把</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重斩骨刀手工锻打屠刀,不锈钢厨用刀,</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刀柄采用原木，（生长巨大，吸水性能好，尽显舒适自然心境。）不染色，无化学浸泡，手感极佳，健康无污染。</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食品级不锈钢材质防止生锈。</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231140</wp:posOffset>
                  </wp:positionH>
                  <wp:positionV relativeFrom="paragraph">
                    <wp:posOffset>118110</wp:posOffset>
                  </wp:positionV>
                  <wp:extent cx="609600" cy="516890"/>
                  <wp:effectExtent l="0" t="0" r="0" b="16510"/>
                  <wp:wrapNone/>
                  <wp:docPr id="23" name="图片_66"/>
                  <wp:cNvGraphicFramePr/>
                  <a:graphic xmlns:a="http://schemas.openxmlformats.org/drawingml/2006/main">
                    <a:graphicData uri="http://schemas.openxmlformats.org/drawingml/2006/picture">
                      <pic:pic xmlns:pic="http://schemas.openxmlformats.org/drawingml/2006/picture">
                        <pic:nvPicPr>
                          <pic:cNvPr id="23" name="图片_66"/>
                          <pic:cNvPicPr/>
                        </pic:nvPicPr>
                        <pic:blipFill>
                          <a:blip r:embed="rId74"/>
                          <a:stretch>
                            <a:fillRect/>
                          </a:stretch>
                        </pic:blipFill>
                        <pic:spPr>
                          <a:xfrm>
                            <a:off x="0" y="0"/>
                            <a:ext cx="609600" cy="51689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35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77</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不锈钢油隔</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食品级304#材质，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加厚加粗，加固网格</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加粗加长手柄，防止手臂近距离接触</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172720</wp:posOffset>
                  </wp:positionH>
                  <wp:positionV relativeFrom="paragraph">
                    <wp:posOffset>179705</wp:posOffset>
                  </wp:positionV>
                  <wp:extent cx="836930" cy="371475"/>
                  <wp:effectExtent l="0" t="0" r="1270" b="9525"/>
                  <wp:wrapNone/>
                  <wp:docPr id="24" name="图片_82"/>
                  <wp:cNvGraphicFramePr/>
                  <a:graphic xmlns:a="http://schemas.openxmlformats.org/drawingml/2006/main">
                    <a:graphicData uri="http://schemas.openxmlformats.org/drawingml/2006/picture">
                      <pic:pic xmlns:pic="http://schemas.openxmlformats.org/drawingml/2006/picture">
                        <pic:nvPicPr>
                          <pic:cNvPr id="24" name="图片_82"/>
                          <pic:cNvPicPr/>
                        </pic:nvPicPr>
                        <pic:blipFill>
                          <a:blip r:embed="rId75"/>
                          <a:stretch>
                            <a:fillRect/>
                          </a:stretch>
                        </pic:blipFill>
                        <pic:spPr>
                          <a:xfrm>
                            <a:off x="0" y="0"/>
                            <a:ext cx="836930" cy="37147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57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78</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煲仔饭专用砂锅</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精选优质高岭土跟进口锂辉石，二次高温煅烧冷热交替不开裂，安全更耐用。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锂辉石含有多种矿物质，加热时分解弱碱性矿物质，保留食物原味时补充身体所需微量元素。</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易清洁不串味。</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口径26,包含运输费、人工费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31750</wp:posOffset>
                  </wp:positionH>
                  <wp:positionV relativeFrom="paragraph">
                    <wp:posOffset>60960</wp:posOffset>
                  </wp:positionV>
                  <wp:extent cx="1066800" cy="578485"/>
                  <wp:effectExtent l="0" t="0" r="0" b="12065"/>
                  <wp:wrapNone/>
                  <wp:docPr id="25" name="图片_74"/>
                  <wp:cNvGraphicFramePr/>
                  <a:graphic xmlns:a="http://schemas.openxmlformats.org/drawingml/2006/main">
                    <a:graphicData uri="http://schemas.openxmlformats.org/drawingml/2006/picture">
                      <pic:pic xmlns:pic="http://schemas.openxmlformats.org/drawingml/2006/picture">
                        <pic:nvPicPr>
                          <pic:cNvPr id="25" name="图片_74"/>
                          <pic:cNvPicPr/>
                        </pic:nvPicPr>
                        <pic:blipFill>
                          <a:blip r:embed="rId76"/>
                          <a:stretch>
                            <a:fillRect/>
                          </a:stretch>
                        </pic:blipFill>
                        <pic:spPr>
                          <a:xfrm>
                            <a:off x="0" y="0"/>
                            <a:ext cx="1066800" cy="57848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57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79</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全白浅口耐烧小砂锅</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精选优质高岭土跟进口锂辉石，二次高温煅烧冷热交替不开裂，安全更耐用。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锂辉石含有多种矿物质，加热时分解弱碱性矿物质，保留食物原味时补充身体所需微量元素。</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易清洁不串味。</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口径25CM,包含运输费、人工费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127000</wp:posOffset>
                  </wp:positionH>
                  <wp:positionV relativeFrom="paragraph">
                    <wp:posOffset>171450</wp:posOffset>
                  </wp:positionV>
                  <wp:extent cx="901065" cy="407670"/>
                  <wp:effectExtent l="0" t="0" r="13335" b="11430"/>
                  <wp:wrapNone/>
                  <wp:docPr id="26" name="图片_73"/>
                  <wp:cNvGraphicFramePr/>
                  <a:graphic xmlns:a="http://schemas.openxmlformats.org/drawingml/2006/main">
                    <a:graphicData uri="http://schemas.openxmlformats.org/drawingml/2006/picture">
                      <pic:pic xmlns:pic="http://schemas.openxmlformats.org/drawingml/2006/picture">
                        <pic:nvPicPr>
                          <pic:cNvPr id="26" name="图片_73"/>
                          <pic:cNvPicPr/>
                        </pic:nvPicPr>
                        <pic:blipFill>
                          <a:blip r:embed="rId77"/>
                          <a:stretch>
                            <a:fillRect/>
                          </a:stretch>
                        </pic:blipFill>
                        <pic:spPr>
                          <a:xfrm>
                            <a:off x="0" y="0"/>
                            <a:ext cx="901065" cy="40767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35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80</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煎涮两用锅</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多段火力调控，操作简单快捷，精密调节阀，感应灵敏，操作得心应手。</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底面光滑易清洗，不粘锅。</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煎涮两用，功能丰富</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4445</wp:posOffset>
                  </wp:positionH>
                  <wp:positionV relativeFrom="paragraph">
                    <wp:posOffset>95250</wp:posOffset>
                  </wp:positionV>
                  <wp:extent cx="1094105" cy="604520"/>
                  <wp:effectExtent l="0" t="0" r="10795" b="5080"/>
                  <wp:wrapNone/>
                  <wp:docPr id="27" name="图片_78"/>
                  <wp:cNvGraphicFramePr/>
                  <a:graphic xmlns:a="http://schemas.openxmlformats.org/drawingml/2006/main">
                    <a:graphicData uri="http://schemas.openxmlformats.org/drawingml/2006/picture">
                      <pic:pic xmlns:pic="http://schemas.openxmlformats.org/drawingml/2006/picture">
                        <pic:nvPicPr>
                          <pic:cNvPr id="27" name="图片_78"/>
                          <pic:cNvPicPr/>
                        </pic:nvPicPr>
                        <pic:blipFill>
                          <a:blip r:embed="rId78"/>
                          <a:stretch>
                            <a:fillRect/>
                          </a:stretch>
                        </pic:blipFill>
                        <pic:spPr>
                          <a:xfrm>
                            <a:off x="0" y="0"/>
                            <a:ext cx="1094105" cy="60452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57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81</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瓦斯卡式炉</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单用卡式炉：配防风罩+单底火锅+4个气罐,</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聚能包边铝制炉头，耐高温。</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多段火力调控，操作简单快捷，精密调节阀，感应灵敏，操作得心应手。</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电压陶瓷式打火。</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172085</wp:posOffset>
                  </wp:positionH>
                  <wp:positionV relativeFrom="paragraph">
                    <wp:posOffset>43180</wp:posOffset>
                  </wp:positionV>
                  <wp:extent cx="916940" cy="551180"/>
                  <wp:effectExtent l="0" t="0" r="16510" b="1270"/>
                  <wp:wrapNone/>
                  <wp:docPr id="29" name="图片_77"/>
                  <wp:cNvGraphicFramePr/>
                  <a:graphic xmlns:a="http://schemas.openxmlformats.org/drawingml/2006/main">
                    <a:graphicData uri="http://schemas.openxmlformats.org/drawingml/2006/picture">
                      <pic:pic xmlns:pic="http://schemas.openxmlformats.org/drawingml/2006/picture">
                        <pic:nvPicPr>
                          <pic:cNvPr id="29" name="图片_77"/>
                          <pic:cNvPicPr/>
                        </pic:nvPicPr>
                        <pic:blipFill>
                          <a:blip r:embed="rId79"/>
                          <a:stretch>
                            <a:fillRect/>
                          </a:stretch>
                        </pic:blipFill>
                        <pic:spPr>
                          <a:xfrm>
                            <a:off x="0" y="0"/>
                            <a:ext cx="916940" cy="55118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224"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82</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方形铁板烤</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安全无涂层，物理不粘锅。</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规格：25*17CM,包含运输费、人工费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after="0"/>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154940</wp:posOffset>
                  </wp:positionH>
                  <wp:positionV relativeFrom="paragraph">
                    <wp:posOffset>215900</wp:posOffset>
                  </wp:positionV>
                  <wp:extent cx="851535" cy="426720"/>
                  <wp:effectExtent l="0" t="0" r="5715" b="11430"/>
                  <wp:wrapNone/>
                  <wp:docPr id="28" name="图片_75"/>
                  <wp:cNvGraphicFramePr/>
                  <a:graphic xmlns:a="http://schemas.openxmlformats.org/drawingml/2006/main">
                    <a:graphicData uri="http://schemas.openxmlformats.org/drawingml/2006/picture">
                      <pic:pic xmlns:pic="http://schemas.openxmlformats.org/drawingml/2006/picture">
                        <pic:nvPicPr>
                          <pic:cNvPr id="28" name="图片_75"/>
                          <pic:cNvPicPr/>
                        </pic:nvPicPr>
                        <pic:blipFill>
                          <a:blip r:embed="rId80"/>
                          <a:stretch>
                            <a:fillRect/>
                          </a:stretch>
                        </pic:blipFill>
                        <pic:spPr>
                          <a:xfrm>
                            <a:off x="0" y="0"/>
                            <a:ext cx="851535" cy="42672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57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83</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酒精火锅炉</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材质：不锈钢+铁艺    酒精火锅炉（配锅+20克酒精块）,</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双钢筋支撑架，坚固耐用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酒精容器，有调节火力开关，轻松掌控火力大小。</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3175</wp:posOffset>
                  </wp:positionH>
                  <wp:positionV relativeFrom="paragraph">
                    <wp:posOffset>171450</wp:posOffset>
                  </wp:positionV>
                  <wp:extent cx="1090295" cy="601980"/>
                  <wp:effectExtent l="0" t="0" r="14605" b="7620"/>
                  <wp:wrapNone/>
                  <wp:docPr id="30" name="图片_79"/>
                  <wp:cNvGraphicFramePr/>
                  <a:graphic xmlns:a="http://schemas.openxmlformats.org/drawingml/2006/main">
                    <a:graphicData uri="http://schemas.openxmlformats.org/drawingml/2006/picture">
                      <pic:pic xmlns:pic="http://schemas.openxmlformats.org/drawingml/2006/picture">
                        <pic:nvPicPr>
                          <pic:cNvPr id="30" name="图片_79"/>
                          <pic:cNvPicPr/>
                        </pic:nvPicPr>
                        <pic:blipFill>
                          <a:blip r:embed="rId81"/>
                          <a:stretch>
                            <a:fillRect/>
                          </a:stretch>
                        </pic:blipFill>
                        <pic:spPr>
                          <a:xfrm>
                            <a:off x="0" y="0"/>
                            <a:ext cx="1090295" cy="60198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362"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84</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炖盅</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采用优质陶瓷，</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吸水率低，不藏污纳垢，存放不易炸裂。</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容量：250ML,包含运输费、人工费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285750</wp:posOffset>
                  </wp:positionH>
                  <wp:positionV relativeFrom="paragraph">
                    <wp:posOffset>36195</wp:posOffset>
                  </wp:positionV>
                  <wp:extent cx="454025" cy="588010"/>
                  <wp:effectExtent l="0" t="0" r="3175" b="2540"/>
                  <wp:wrapNone/>
                  <wp:docPr id="31" name="图片_69"/>
                  <wp:cNvGraphicFramePr/>
                  <a:graphic xmlns:a="http://schemas.openxmlformats.org/drawingml/2006/main">
                    <a:graphicData uri="http://schemas.openxmlformats.org/drawingml/2006/picture">
                      <pic:pic xmlns:pic="http://schemas.openxmlformats.org/drawingml/2006/picture">
                        <pic:nvPicPr>
                          <pic:cNvPr id="31" name="图片_69"/>
                          <pic:cNvPicPr/>
                        </pic:nvPicPr>
                        <pic:blipFill>
                          <a:blip r:embed="rId82"/>
                          <a:stretch>
                            <a:fillRect/>
                          </a:stretch>
                        </pic:blipFill>
                        <pic:spPr>
                          <a:xfrm>
                            <a:off x="0" y="0"/>
                            <a:ext cx="454025" cy="58801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32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85</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富贵碗</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采用优质陶瓷，容量：250ML,</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吸水率低，不藏污纳垢，存放不易炸裂。</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249555</wp:posOffset>
                  </wp:positionH>
                  <wp:positionV relativeFrom="paragraph">
                    <wp:posOffset>60325</wp:posOffset>
                  </wp:positionV>
                  <wp:extent cx="611505" cy="542925"/>
                  <wp:effectExtent l="0" t="0" r="17145" b="9525"/>
                  <wp:wrapNone/>
                  <wp:docPr id="32" name="图片_71"/>
                  <wp:cNvGraphicFramePr/>
                  <a:graphic xmlns:a="http://schemas.openxmlformats.org/drawingml/2006/main">
                    <a:graphicData uri="http://schemas.openxmlformats.org/drawingml/2006/picture">
                      <pic:pic xmlns:pic="http://schemas.openxmlformats.org/drawingml/2006/picture">
                        <pic:nvPicPr>
                          <pic:cNvPr id="32" name="图片_71"/>
                          <pic:cNvPicPr/>
                        </pic:nvPicPr>
                        <pic:blipFill>
                          <a:blip r:embed="rId83"/>
                          <a:stretch>
                            <a:fillRect/>
                          </a:stretch>
                        </pic:blipFill>
                        <pic:spPr>
                          <a:xfrm>
                            <a:off x="0" y="0"/>
                            <a:ext cx="611505" cy="54292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12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86</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圆盘</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采用优质陶瓷，</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直径31CM,高3CM,</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光滑釉面，不易粘油污，易清洗</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208280</wp:posOffset>
                  </wp:positionH>
                  <wp:positionV relativeFrom="paragraph">
                    <wp:posOffset>96520</wp:posOffset>
                  </wp:positionV>
                  <wp:extent cx="781685" cy="551180"/>
                  <wp:effectExtent l="0" t="0" r="18415" b="1270"/>
                  <wp:wrapNone/>
                  <wp:docPr id="33" name="图片_60"/>
                  <wp:cNvGraphicFramePr/>
                  <a:graphic xmlns:a="http://schemas.openxmlformats.org/drawingml/2006/main">
                    <a:graphicData uri="http://schemas.openxmlformats.org/drawingml/2006/picture">
                      <pic:pic xmlns:pic="http://schemas.openxmlformats.org/drawingml/2006/picture">
                        <pic:nvPicPr>
                          <pic:cNvPr id="33" name="图片_60"/>
                          <pic:cNvPicPr/>
                        </pic:nvPicPr>
                        <pic:blipFill>
                          <a:blip r:embed="rId84"/>
                          <a:stretch>
                            <a:fillRect/>
                          </a:stretch>
                        </pic:blipFill>
                        <pic:spPr>
                          <a:xfrm>
                            <a:off x="0" y="0"/>
                            <a:ext cx="781685" cy="55118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32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87</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鲍鱼盘</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采用优质陶瓷，外径25CM,内径21CM,高4CM</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222250</wp:posOffset>
                  </wp:positionH>
                  <wp:positionV relativeFrom="paragraph">
                    <wp:posOffset>100330</wp:posOffset>
                  </wp:positionV>
                  <wp:extent cx="767080" cy="572770"/>
                  <wp:effectExtent l="0" t="0" r="13970" b="17780"/>
                  <wp:wrapNone/>
                  <wp:docPr id="34" name="图片_58"/>
                  <wp:cNvGraphicFramePr/>
                  <a:graphic xmlns:a="http://schemas.openxmlformats.org/drawingml/2006/main">
                    <a:graphicData uri="http://schemas.openxmlformats.org/drawingml/2006/picture">
                      <pic:pic xmlns:pic="http://schemas.openxmlformats.org/drawingml/2006/picture">
                        <pic:nvPicPr>
                          <pic:cNvPr id="34" name="图片_58"/>
                          <pic:cNvPicPr/>
                        </pic:nvPicPr>
                        <pic:blipFill>
                          <a:blip r:embed="rId85"/>
                          <a:stretch>
                            <a:fillRect/>
                          </a:stretch>
                        </pic:blipFill>
                        <pic:spPr>
                          <a:xfrm>
                            <a:off x="0" y="0"/>
                            <a:ext cx="767080" cy="57277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12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88</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平盘</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afterAutospacing="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采用优质纯白陶瓷，直径26CM  ,高2.5CM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光滑釉面，不易粘油污，易清洗</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214630</wp:posOffset>
                  </wp:positionH>
                  <wp:positionV relativeFrom="paragraph">
                    <wp:posOffset>55880</wp:posOffset>
                  </wp:positionV>
                  <wp:extent cx="786130" cy="553085"/>
                  <wp:effectExtent l="0" t="0" r="13970" b="18415"/>
                  <wp:wrapNone/>
                  <wp:docPr id="35" name="图片_59"/>
                  <wp:cNvGraphicFramePr/>
                  <a:graphic xmlns:a="http://schemas.openxmlformats.org/drawingml/2006/main">
                    <a:graphicData uri="http://schemas.openxmlformats.org/drawingml/2006/picture">
                      <pic:pic xmlns:pic="http://schemas.openxmlformats.org/drawingml/2006/picture">
                        <pic:nvPicPr>
                          <pic:cNvPr id="35" name="图片_59"/>
                          <pic:cNvPicPr/>
                        </pic:nvPicPr>
                        <pic:blipFill>
                          <a:blip r:embed="rId86"/>
                          <a:stretch>
                            <a:fillRect/>
                          </a:stretch>
                        </pic:blipFill>
                        <pic:spPr>
                          <a:xfrm>
                            <a:off x="0" y="0"/>
                            <a:ext cx="786130" cy="55308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90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89</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鱼盘</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采用优质纯白陶瓷，</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长43CM  ,高3CM ,宽21.5CM,</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光滑釉面，不易粘油污，易清洗</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71120</wp:posOffset>
                  </wp:positionH>
                  <wp:positionV relativeFrom="paragraph">
                    <wp:posOffset>108585</wp:posOffset>
                  </wp:positionV>
                  <wp:extent cx="972820" cy="441325"/>
                  <wp:effectExtent l="0" t="0" r="17780" b="15875"/>
                  <wp:wrapNone/>
                  <wp:docPr id="36" name="图片_55"/>
                  <wp:cNvGraphicFramePr/>
                  <a:graphic xmlns:a="http://schemas.openxmlformats.org/drawingml/2006/main">
                    <a:graphicData uri="http://schemas.openxmlformats.org/drawingml/2006/picture">
                      <pic:pic xmlns:pic="http://schemas.openxmlformats.org/drawingml/2006/picture">
                        <pic:nvPicPr>
                          <pic:cNvPr id="36" name="图片_55"/>
                          <pic:cNvPicPr/>
                        </pic:nvPicPr>
                        <pic:blipFill>
                          <a:blip r:embed="rId87"/>
                          <a:stretch>
                            <a:fillRect/>
                          </a:stretch>
                        </pic:blipFill>
                        <pic:spPr>
                          <a:xfrm>
                            <a:off x="0" y="0"/>
                            <a:ext cx="972820" cy="44132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57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90</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腰盘</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afterAutospacing="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采用优质纯白陶瓷，</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长35CM  ,宽23CM,高4CM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光滑釉面，不易粘油污，易清洗</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r>
              <w:rPr>
                <w:rFonts w:hint="eastAsia" w:ascii="宋体" w:hAnsi="宋体" w:eastAsia="宋体" w:cs="宋体"/>
                <w:i w:val="0"/>
                <w:color w:val="auto"/>
                <w:kern w:val="0"/>
                <w:sz w:val="21"/>
                <w:szCs w:val="21"/>
                <w:u w:val="none"/>
                <w:lang w:val="en-US" w:eastAsia="zh-CN" w:bidi="ar"/>
              </w:rPr>
              <w:br w:type="textWrapping"/>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104775</wp:posOffset>
                  </wp:positionH>
                  <wp:positionV relativeFrom="paragraph">
                    <wp:posOffset>45720</wp:posOffset>
                  </wp:positionV>
                  <wp:extent cx="941705" cy="532765"/>
                  <wp:effectExtent l="0" t="0" r="10795" b="635"/>
                  <wp:wrapNone/>
                  <wp:docPr id="37" name="图片_61"/>
                  <wp:cNvGraphicFramePr/>
                  <a:graphic xmlns:a="http://schemas.openxmlformats.org/drawingml/2006/main">
                    <a:graphicData uri="http://schemas.openxmlformats.org/drawingml/2006/picture">
                      <pic:pic xmlns:pic="http://schemas.openxmlformats.org/drawingml/2006/picture">
                        <pic:nvPicPr>
                          <pic:cNvPr id="37" name="图片_61"/>
                          <pic:cNvPicPr/>
                        </pic:nvPicPr>
                        <pic:blipFill>
                          <a:blip r:embed="rId88"/>
                          <a:stretch>
                            <a:fillRect/>
                          </a:stretch>
                        </pic:blipFill>
                        <pic:spPr>
                          <a:xfrm>
                            <a:off x="0" y="0"/>
                            <a:ext cx="941705" cy="53276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12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91</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四方碗</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采用优质纯白陶瓷，</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长25CM,宽22CM,高5CM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光滑釉面，不易粘油污，易清洗</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198755</wp:posOffset>
                  </wp:positionH>
                  <wp:positionV relativeFrom="paragraph">
                    <wp:posOffset>103505</wp:posOffset>
                  </wp:positionV>
                  <wp:extent cx="640715" cy="439420"/>
                  <wp:effectExtent l="0" t="0" r="6985" b="17780"/>
                  <wp:wrapNone/>
                  <wp:docPr id="38" name="图片_57"/>
                  <wp:cNvGraphicFramePr/>
                  <a:graphic xmlns:a="http://schemas.openxmlformats.org/drawingml/2006/main">
                    <a:graphicData uri="http://schemas.openxmlformats.org/drawingml/2006/picture">
                      <pic:pic xmlns:pic="http://schemas.openxmlformats.org/drawingml/2006/picture">
                        <pic:nvPicPr>
                          <pic:cNvPr id="38" name="图片_57"/>
                          <pic:cNvPicPr/>
                        </pic:nvPicPr>
                        <pic:blipFill>
                          <a:blip r:embed="rId89"/>
                          <a:stretch>
                            <a:fillRect/>
                          </a:stretch>
                        </pic:blipFill>
                        <pic:spPr>
                          <a:xfrm>
                            <a:off x="0" y="0"/>
                            <a:ext cx="640715" cy="43942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12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92</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长方碟</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采用优质纯白陶瓷，</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长39CM,宽25CM高4CM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光滑釉面，不易粘油污，易清洗</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95885</wp:posOffset>
                  </wp:positionH>
                  <wp:positionV relativeFrom="paragraph">
                    <wp:posOffset>54610</wp:posOffset>
                  </wp:positionV>
                  <wp:extent cx="924560" cy="403225"/>
                  <wp:effectExtent l="0" t="0" r="8890" b="15875"/>
                  <wp:wrapNone/>
                  <wp:docPr id="39" name="图片_56"/>
                  <wp:cNvGraphicFramePr/>
                  <a:graphic xmlns:a="http://schemas.openxmlformats.org/drawingml/2006/main">
                    <a:graphicData uri="http://schemas.openxmlformats.org/drawingml/2006/picture">
                      <pic:pic xmlns:pic="http://schemas.openxmlformats.org/drawingml/2006/picture">
                        <pic:nvPicPr>
                          <pic:cNvPr id="39" name="图片_56"/>
                          <pic:cNvPicPr/>
                        </pic:nvPicPr>
                        <pic:blipFill>
                          <a:blip r:embed="rId90"/>
                          <a:stretch>
                            <a:fillRect/>
                          </a:stretch>
                        </pic:blipFill>
                        <pic:spPr>
                          <a:xfrm>
                            <a:off x="0" y="0"/>
                            <a:ext cx="924560" cy="40322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90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93</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鱼头盘</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采用优质纯白陶瓷，</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直径35CM  ,高4CM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光滑釉面，不易粘油污，易清洗</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224790</wp:posOffset>
                  </wp:positionH>
                  <wp:positionV relativeFrom="paragraph">
                    <wp:posOffset>146050</wp:posOffset>
                  </wp:positionV>
                  <wp:extent cx="754380" cy="521970"/>
                  <wp:effectExtent l="0" t="0" r="7620" b="11430"/>
                  <wp:wrapNone/>
                  <wp:docPr id="40" name="图片_70"/>
                  <wp:cNvGraphicFramePr/>
                  <a:graphic xmlns:a="http://schemas.openxmlformats.org/drawingml/2006/main">
                    <a:graphicData uri="http://schemas.openxmlformats.org/drawingml/2006/picture">
                      <pic:pic xmlns:pic="http://schemas.openxmlformats.org/drawingml/2006/picture">
                        <pic:nvPicPr>
                          <pic:cNvPr id="40" name="图片_70"/>
                          <pic:cNvPicPr/>
                        </pic:nvPicPr>
                        <pic:blipFill>
                          <a:blip r:embed="rId91"/>
                          <a:stretch>
                            <a:fillRect/>
                          </a:stretch>
                        </pic:blipFill>
                        <pic:spPr>
                          <a:xfrm>
                            <a:off x="0" y="0"/>
                            <a:ext cx="754380" cy="52197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38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94</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窝盘</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采用优质纯白陶瓷，</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直径23CM  ,高7CM ,</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光滑釉面，不易粘油污，易清洗</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224790</wp:posOffset>
                  </wp:positionH>
                  <wp:positionV relativeFrom="paragraph">
                    <wp:posOffset>184150</wp:posOffset>
                  </wp:positionV>
                  <wp:extent cx="666750" cy="629285"/>
                  <wp:effectExtent l="0" t="0" r="0" b="18415"/>
                  <wp:wrapNone/>
                  <wp:docPr id="41" name="图片_72"/>
                  <wp:cNvGraphicFramePr/>
                  <a:graphic xmlns:a="http://schemas.openxmlformats.org/drawingml/2006/main">
                    <a:graphicData uri="http://schemas.openxmlformats.org/drawingml/2006/picture">
                      <pic:pic xmlns:pic="http://schemas.openxmlformats.org/drawingml/2006/picture">
                        <pic:nvPicPr>
                          <pic:cNvPr id="41" name="图片_72"/>
                          <pic:cNvPicPr/>
                        </pic:nvPicPr>
                        <pic:blipFill>
                          <a:blip r:embed="rId92"/>
                          <a:stretch>
                            <a:fillRect/>
                          </a:stretch>
                        </pic:blipFill>
                        <pic:spPr>
                          <a:xfrm>
                            <a:off x="0" y="0"/>
                            <a:ext cx="666750" cy="62928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34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95</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汤盅</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采用优质纯白陶瓷，12寸,</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光滑釉面，不易粘油污，易清洗</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116840</wp:posOffset>
                  </wp:positionH>
                  <wp:positionV relativeFrom="paragraph">
                    <wp:posOffset>123190</wp:posOffset>
                  </wp:positionV>
                  <wp:extent cx="835660" cy="661670"/>
                  <wp:effectExtent l="0" t="0" r="2540" b="5080"/>
                  <wp:wrapNone/>
                  <wp:docPr id="42" name="图片_84"/>
                  <wp:cNvGraphicFramePr/>
                  <a:graphic xmlns:a="http://schemas.openxmlformats.org/drawingml/2006/main">
                    <a:graphicData uri="http://schemas.openxmlformats.org/drawingml/2006/picture">
                      <pic:pic xmlns:pic="http://schemas.openxmlformats.org/drawingml/2006/picture">
                        <pic:nvPicPr>
                          <pic:cNvPr id="42" name="图片_84"/>
                          <pic:cNvPicPr/>
                        </pic:nvPicPr>
                        <pic:blipFill>
                          <a:blip r:embed="rId93"/>
                          <a:stretch>
                            <a:fillRect/>
                          </a:stretch>
                        </pic:blipFill>
                        <pic:spPr>
                          <a:xfrm>
                            <a:off x="0" y="0"/>
                            <a:ext cx="835660" cy="66167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90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96</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桌布</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4</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块</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布圆径2.8米配2.2米桌,</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防滑性好，吸附桌面，表面平整，不易移动。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180975</wp:posOffset>
                  </wp:positionH>
                  <wp:positionV relativeFrom="paragraph">
                    <wp:posOffset>91440</wp:posOffset>
                  </wp:positionV>
                  <wp:extent cx="676910" cy="506095"/>
                  <wp:effectExtent l="0" t="0" r="8890" b="8255"/>
                  <wp:wrapNone/>
                  <wp:docPr id="43" name="图片_83"/>
                  <wp:cNvGraphicFramePr/>
                  <a:graphic xmlns:a="http://schemas.openxmlformats.org/drawingml/2006/main">
                    <a:graphicData uri="http://schemas.openxmlformats.org/drawingml/2006/picture">
                      <pic:pic xmlns:pic="http://schemas.openxmlformats.org/drawingml/2006/picture">
                        <pic:nvPicPr>
                          <pic:cNvPr id="43" name="图片_83"/>
                          <pic:cNvPicPr/>
                        </pic:nvPicPr>
                        <pic:blipFill>
                          <a:blip r:embed="rId94"/>
                          <a:stretch>
                            <a:fillRect/>
                          </a:stretch>
                        </pic:blipFill>
                        <pic:spPr>
                          <a:xfrm>
                            <a:off x="0" y="0"/>
                            <a:ext cx="676910" cy="50609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900"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97</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桌布</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30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块</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布长2.1米*2.2米配1.5米*1.6米桌子,</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防滑性好，吸附桌面，表面平整，不易移动。</w:t>
            </w:r>
            <w:r>
              <w:rPr>
                <w:rFonts w:hint="eastAsia" w:ascii="宋体" w:hAnsi="宋体" w:eastAsia="宋体" w:cs="宋体"/>
                <w:i w:val="0"/>
                <w:color w:val="auto"/>
                <w:kern w:val="0"/>
                <w:sz w:val="21"/>
                <w:szCs w:val="21"/>
                <w:u w:val="none"/>
                <w:lang w:val="en-US" w:eastAsia="zh-CN" w:bidi="ar"/>
              </w:rPr>
              <w:br w:type="textWrapping"/>
            </w:r>
            <w:r>
              <w:rPr>
                <w:rFonts w:hint="eastAsia" w:ascii="宋体" w:hAnsi="宋体" w:eastAsia="宋体" w:cs="宋体"/>
                <w:i w:val="0"/>
                <w:color w:val="auto"/>
                <w:kern w:val="0"/>
                <w:sz w:val="21"/>
                <w:szCs w:val="21"/>
                <w:u w:val="none"/>
                <w:lang w:val="en-US" w:eastAsia="zh-CN" w:bidi="ar"/>
              </w:rPr>
              <w:t>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44450</wp:posOffset>
                  </wp:positionH>
                  <wp:positionV relativeFrom="paragraph">
                    <wp:posOffset>69215</wp:posOffset>
                  </wp:positionV>
                  <wp:extent cx="1007110" cy="500380"/>
                  <wp:effectExtent l="0" t="0" r="2540" b="13970"/>
                  <wp:wrapNone/>
                  <wp:docPr id="44" name="图片_85"/>
                  <wp:cNvGraphicFramePr/>
                  <a:graphic xmlns:a="http://schemas.openxmlformats.org/drawingml/2006/main">
                    <a:graphicData uri="http://schemas.openxmlformats.org/drawingml/2006/picture">
                      <pic:pic xmlns:pic="http://schemas.openxmlformats.org/drawingml/2006/picture">
                        <pic:nvPicPr>
                          <pic:cNvPr id="44" name="图片_85"/>
                          <pic:cNvPicPr/>
                        </pic:nvPicPr>
                        <pic:blipFill>
                          <a:blip r:embed="rId95"/>
                          <a:stretch>
                            <a:fillRect/>
                          </a:stretch>
                        </pic:blipFill>
                        <pic:spPr>
                          <a:xfrm>
                            <a:off x="0" y="0"/>
                            <a:ext cx="1007110" cy="50038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67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98</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蔬果类胶砧板（青色）</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规格直径450MM*厚100MM，采用聚乙烯材质，按照GB4806.7-2016食品安全国家标准食品接触用塑料材料及制品的要求；包含运输费、人工费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117475</wp:posOffset>
                  </wp:positionH>
                  <wp:positionV relativeFrom="paragraph">
                    <wp:posOffset>59055</wp:posOffset>
                  </wp:positionV>
                  <wp:extent cx="704215" cy="309245"/>
                  <wp:effectExtent l="0" t="0" r="635" b="14605"/>
                  <wp:wrapNone/>
                  <wp:docPr id="45" name="图片_97"/>
                  <wp:cNvGraphicFramePr/>
                  <a:graphic xmlns:a="http://schemas.openxmlformats.org/drawingml/2006/main">
                    <a:graphicData uri="http://schemas.openxmlformats.org/drawingml/2006/picture">
                      <pic:pic xmlns:pic="http://schemas.openxmlformats.org/drawingml/2006/picture">
                        <pic:nvPicPr>
                          <pic:cNvPr id="45" name="图片_97"/>
                          <pic:cNvPicPr/>
                        </pic:nvPicPr>
                        <pic:blipFill>
                          <a:blip r:embed="rId96"/>
                          <a:stretch>
                            <a:fillRect/>
                          </a:stretch>
                        </pic:blipFill>
                        <pic:spPr>
                          <a:xfrm>
                            <a:off x="0" y="0"/>
                            <a:ext cx="704215" cy="30924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67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99</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禽类类胶砧板（红色）</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5</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规格直径450MM*厚100MM，采用聚乙烯材质，按照GB4806.7-2018食品安全国家标准食品接触用塑料材料及制品的要求。包含运输费、人工费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135890</wp:posOffset>
                  </wp:positionH>
                  <wp:positionV relativeFrom="paragraph">
                    <wp:posOffset>17145</wp:posOffset>
                  </wp:positionV>
                  <wp:extent cx="638810" cy="389890"/>
                  <wp:effectExtent l="0" t="0" r="8890" b="10160"/>
                  <wp:wrapNone/>
                  <wp:docPr id="46" name="图片_95"/>
                  <wp:cNvGraphicFramePr/>
                  <a:graphic xmlns:a="http://schemas.openxmlformats.org/drawingml/2006/main">
                    <a:graphicData uri="http://schemas.openxmlformats.org/drawingml/2006/picture">
                      <pic:pic xmlns:pic="http://schemas.openxmlformats.org/drawingml/2006/picture">
                        <pic:nvPicPr>
                          <pic:cNvPr id="46" name="图片_95"/>
                          <pic:cNvPicPr/>
                        </pic:nvPicPr>
                        <pic:blipFill>
                          <a:blip r:embed="rId97"/>
                          <a:stretch>
                            <a:fillRect/>
                          </a:stretch>
                        </pic:blipFill>
                        <pic:spPr>
                          <a:xfrm>
                            <a:off x="0" y="0"/>
                            <a:ext cx="638810" cy="38989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67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100</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熟食类胶砧板（白色）</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2</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规格直径450MM*厚100MM，采用聚乙烯材质，按照GB4806.7-2018食品安全国家标准食品接触用塑料材料及制品的要求。包含运输费、人工费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140335</wp:posOffset>
                  </wp:positionH>
                  <wp:positionV relativeFrom="paragraph">
                    <wp:posOffset>56515</wp:posOffset>
                  </wp:positionV>
                  <wp:extent cx="681355" cy="302260"/>
                  <wp:effectExtent l="0" t="0" r="4445" b="2540"/>
                  <wp:wrapNone/>
                  <wp:docPr id="47" name="图片_96"/>
                  <wp:cNvGraphicFramePr/>
                  <a:graphic xmlns:a="http://schemas.openxmlformats.org/drawingml/2006/main">
                    <a:graphicData uri="http://schemas.openxmlformats.org/drawingml/2006/picture">
                      <pic:pic xmlns:pic="http://schemas.openxmlformats.org/drawingml/2006/picture">
                        <pic:nvPicPr>
                          <pic:cNvPr id="47" name="图片_96"/>
                          <pic:cNvPicPr/>
                        </pic:nvPicPr>
                        <pic:blipFill>
                          <a:blip r:embed="rId98"/>
                          <a:stretch>
                            <a:fillRect/>
                          </a:stretch>
                        </pic:blipFill>
                        <pic:spPr>
                          <a:xfrm>
                            <a:off x="0" y="0"/>
                            <a:ext cx="681355" cy="30226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134"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101</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家用电磁炉</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台</w:t>
            </w:r>
          </w:p>
        </w:tc>
        <w:tc>
          <w:tcPr>
            <w:tcW w:w="25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功率：2100W/220V,4D功能，配锅，（含运费，不含电线线路接驳）</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p>
        </w:tc>
      </w:tr>
      <w:tr>
        <w:tblPrEx>
          <w:tblCellMar>
            <w:top w:w="0" w:type="dxa"/>
            <w:left w:w="0" w:type="dxa"/>
            <w:bottom w:w="0" w:type="dxa"/>
            <w:right w:w="0" w:type="dxa"/>
          </w:tblCellMar>
        </w:tblPrEx>
        <w:trPr>
          <w:trHeight w:val="1399"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102</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家用烤箱</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台</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多功能电烤箱 38升 ,广域控温 ,（含运费，不含电线线路接驳）</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273050</wp:posOffset>
                  </wp:positionH>
                  <wp:positionV relativeFrom="paragraph">
                    <wp:posOffset>43180</wp:posOffset>
                  </wp:positionV>
                  <wp:extent cx="664210" cy="873125"/>
                  <wp:effectExtent l="0" t="0" r="2540" b="3175"/>
                  <wp:wrapNone/>
                  <wp:docPr id="49" name="图片_3_SpCnt_1"/>
                  <wp:cNvGraphicFramePr/>
                  <a:graphic xmlns:a="http://schemas.openxmlformats.org/drawingml/2006/main">
                    <a:graphicData uri="http://schemas.openxmlformats.org/drawingml/2006/picture">
                      <pic:pic xmlns:pic="http://schemas.openxmlformats.org/drawingml/2006/picture">
                        <pic:nvPicPr>
                          <pic:cNvPr id="49" name="图片_3_SpCnt_1"/>
                          <pic:cNvPicPr/>
                        </pic:nvPicPr>
                        <pic:blipFill>
                          <a:blip r:embed="rId99"/>
                          <a:srcRect t="15228"/>
                          <a:stretch>
                            <a:fillRect/>
                          </a:stretch>
                        </pic:blipFill>
                        <pic:spPr>
                          <a:xfrm>
                            <a:off x="0" y="0"/>
                            <a:ext cx="664210" cy="873125"/>
                          </a:xfrm>
                          <a:prstGeom prst="rect">
                            <a:avLst/>
                          </a:prstGeom>
                          <a:noFill/>
                          <a:ln>
                            <a:noFill/>
                          </a:ln>
                        </pic:spPr>
                      </pic:pic>
                    </a:graphicData>
                  </a:graphic>
                </wp:anchor>
              </w:drawing>
            </w:r>
          </w:p>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p>
        </w:tc>
      </w:tr>
      <w:tr>
        <w:tblPrEx>
          <w:tblCellMar>
            <w:top w:w="0" w:type="dxa"/>
            <w:left w:w="0" w:type="dxa"/>
            <w:bottom w:w="0" w:type="dxa"/>
            <w:right w:w="0" w:type="dxa"/>
          </w:tblCellMar>
        </w:tblPrEx>
        <w:trPr>
          <w:trHeight w:val="1544"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103</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不粘锅</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个</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炒锅,直径32CM无涂层平底炒菜锅具可立盖电磁炉燃煤气通用（含运费）</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137795</wp:posOffset>
                  </wp:positionH>
                  <wp:positionV relativeFrom="paragraph">
                    <wp:posOffset>40005</wp:posOffset>
                  </wp:positionV>
                  <wp:extent cx="883920" cy="771525"/>
                  <wp:effectExtent l="0" t="0" r="11430" b="9525"/>
                  <wp:wrapNone/>
                  <wp:docPr id="50" name="图片_6_SpCnt_1"/>
                  <wp:cNvGraphicFramePr/>
                  <a:graphic xmlns:a="http://schemas.openxmlformats.org/drawingml/2006/main">
                    <a:graphicData uri="http://schemas.openxmlformats.org/drawingml/2006/picture">
                      <pic:pic xmlns:pic="http://schemas.openxmlformats.org/drawingml/2006/picture">
                        <pic:nvPicPr>
                          <pic:cNvPr id="50" name="图片_6_SpCnt_1"/>
                          <pic:cNvPicPr/>
                        </pic:nvPicPr>
                        <pic:blipFill>
                          <a:blip r:embed="rId100"/>
                          <a:srcRect t="10989"/>
                          <a:stretch>
                            <a:fillRect/>
                          </a:stretch>
                        </pic:blipFill>
                        <pic:spPr>
                          <a:xfrm>
                            <a:off x="0" y="0"/>
                            <a:ext cx="883920" cy="771525"/>
                          </a:xfrm>
                          <a:prstGeom prst="rect">
                            <a:avLst/>
                          </a:prstGeom>
                          <a:noFill/>
                          <a:ln>
                            <a:noFill/>
                          </a:ln>
                        </pic:spPr>
                      </pic:pic>
                    </a:graphicData>
                  </a:graphic>
                </wp:anchor>
              </w:drawing>
            </w:r>
          </w:p>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p>
        </w:tc>
      </w:tr>
      <w:tr>
        <w:tblPrEx>
          <w:tblCellMar>
            <w:top w:w="0" w:type="dxa"/>
            <w:left w:w="0" w:type="dxa"/>
            <w:bottom w:w="0" w:type="dxa"/>
            <w:right w:w="0" w:type="dxa"/>
          </w:tblCellMar>
        </w:tblPrEx>
        <w:trPr>
          <w:trHeight w:val="1214"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104</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全自动面包机</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8</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台</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面包机 功能 可预约全自动家用双撒料智能面包机 （含运费，不含电线线路接驳）</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p>
        </w:tc>
      </w:tr>
      <w:tr>
        <w:tblPrEx>
          <w:tblCellMar>
            <w:top w:w="0" w:type="dxa"/>
            <w:left w:w="0" w:type="dxa"/>
            <w:bottom w:w="0" w:type="dxa"/>
            <w:right w:w="0" w:type="dxa"/>
          </w:tblCellMar>
        </w:tblPrEx>
        <w:trPr>
          <w:trHeight w:val="1035" w:hRule="atLeast"/>
        </w:trPr>
        <w:tc>
          <w:tcPr>
            <w:tcW w:w="2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105</w:t>
            </w:r>
          </w:p>
        </w:tc>
        <w:tc>
          <w:tcPr>
            <w:tcW w:w="5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手持电动打蛋器</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10</w:t>
            </w:r>
          </w:p>
        </w:tc>
        <w:tc>
          <w:tcPr>
            <w:tcW w:w="2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center"/>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台</w:t>
            </w:r>
          </w:p>
        </w:tc>
        <w:tc>
          <w:tcPr>
            <w:tcW w:w="25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kern w:val="0"/>
                <w:sz w:val="21"/>
                <w:szCs w:val="21"/>
                <w:u w:val="none"/>
                <w:lang w:val="en-US" w:eastAsia="zh-CN" w:bidi="ar"/>
              </w:rPr>
              <w:t>手持电动打蛋器</w:t>
            </w:r>
          </w:p>
        </w:tc>
        <w:tc>
          <w:tcPr>
            <w:tcW w:w="10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after="0"/>
              <w:jc w:val="left"/>
              <w:textAlignment w:val="center"/>
              <w:rPr>
                <w:rFonts w:hint="eastAsia" w:ascii="宋体" w:hAnsi="宋体" w:eastAsia="宋体" w:cs="宋体"/>
                <w:i w:val="0"/>
                <w:color w:val="auto"/>
                <w:sz w:val="21"/>
                <w:szCs w:val="21"/>
                <w:u w:val="none"/>
              </w:rPr>
            </w:pPr>
          </w:p>
        </w:tc>
      </w:tr>
    </w:tbl>
    <w:p>
      <w:pPr>
        <w:pStyle w:val="23"/>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textAlignment w:val="auto"/>
        <w:outlineLvl w:val="9"/>
        <w:rPr>
          <w:rFonts w:hint="eastAsia" w:ascii="宋体" w:hAnsi="宋体" w:eastAsia="宋体" w:cs="宋体"/>
          <w:b/>
          <w:color w:val="auto"/>
          <w:sz w:val="24"/>
          <w:highlight w:val="none"/>
          <w:lang w:eastAsia="zh-CN"/>
        </w:rPr>
      </w:pPr>
    </w:p>
    <w:p>
      <w:pPr>
        <w:pStyle w:val="23"/>
        <w:keepNext w:val="0"/>
        <w:keepLines w:val="0"/>
        <w:pageBreakBefore w:val="0"/>
        <w:widowControl/>
        <w:numPr>
          <w:ilvl w:val="0"/>
          <w:numId w:val="1"/>
        </w:numPr>
        <w:kinsoku/>
        <w:wordWrap/>
        <w:overflowPunct/>
        <w:topLinePunct w:val="0"/>
        <w:autoSpaceDE/>
        <w:autoSpaceDN/>
        <w:bidi w:val="0"/>
        <w:adjustRightInd w:val="0"/>
        <w:snapToGrid w:val="0"/>
        <w:spacing w:after="0" w:line="360" w:lineRule="auto"/>
        <w:ind w:left="0" w:firstLine="0" w:firstLineChars="0"/>
        <w:textAlignment w:val="auto"/>
        <w:outlineLvl w:val="9"/>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lang w:eastAsia="zh-CN"/>
        </w:rPr>
        <w:t>运输、保管及保险</w:t>
      </w:r>
    </w:p>
    <w:p>
      <w:pPr>
        <w:spacing w:after="0"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1、中标人负责将货物运到现场过程中的全部费用，包括运输费、装卸费、搬运费等。</w:t>
      </w:r>
    </w:p>
    <w:p>
      <w:pPr>
        <w:spacing w:after="0"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2、货物在安装调试验收合格前的保险由中标人负责，中标人负责运输、安装、调试过程其派出的现场服务人员人身意外保险。</w:t>
      </w:r>
    </w:p>
    <w:p>
      <w:pPr>
        <w:spacing w:after="0"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3、货物在验收合格前的保管由中标人负责。</w:t>
      </w:r>
    </w:p>
    <w:p>
      <w:pPr>
        <w:spacing w:after="0" w:line="360" w:lineRule="auto"/>
        <w:ind w:firstLine="420" w:firstLineChars="200"/>
        <w:rPr>
          <w:rFonts w:hint="eastAsia" w:ascii="宋体" w:hAnsi="宋体" w:eastAsia="宋体" w:cs="宋体"/>
          <w:color w:val="auto"/>
          <w:sz w:val="21"/>
          <w:szCs w:val="21"/>
          <w:highlight w:val="none"/>
          <w:lang w:val="en-US" w:eastAsia="zh-CN"/>
        </w:rPr>
      </w:pPr>
    </w:p>
    <w:p>
      <w:pPr>
        <w:pStyle w:val="23"/>
        <w:keepNext w:val="0"/>
        <w:keepLines w:val="0"/>
        <w:pageBreakBefore w:val="0"/>
        <w:widowControl/>
        <w:numPr>
          <w:ilvl w:val="0"/>
          <w:numId w:val="1"/>
        </w:numPr>
        <w:kinsoku/>
        <w:wordWrap/>
        <w:overflowPunct/>
        <w:topLinePunct w:val="0"/>
        <w:autoSpaceDE/>
        <w:autoSpaceDN/>
        <w:bidi w:val="0"/>
        <w:adjustRightInd w:val="0"/>
        <w:snapToGrid w:val="0"/>
        <w:spacing w:after="0" w:line="360" w:lineRule="auto"/>
        <w:ind w:left="0" w:firstLine="0" w:firstLineChars="0"/>
        <w:textAlignment w:val="auto"/>
        <w:outlineLvl w:val="9"/>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安装、调试、验收</w:t>
      </w:r>
    </w:p>
    <w:p>
      <w:pPr>
        <w:spacing w:after="0"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1、交货期：货物交货期为签订合同后</w:t>
      </w:r>
      <w:r>
        <w:rPr>
          <w:rFonts w:hint="eastAsia" w:ascii="宋体" w:hAnsi="宋体" w:eastAsia="宋体" w:cs="宋体"/>
          <w:color w:val="auto"/>
          <w:sz w:val="21"/>
          <w:szCs w:val="21"/>
          <w:highlight w:val="none"/>
          <w:u w:val="single"/>
          <w:lang w:val="en-US" w:eastAsia="zh-CN"/>
        </w:rPr>
        <w:t xml:space="preserve"> 20 </w:t>
      </w:r>
      <w:r>
        <w:rPr>
          <w:rFonts w:hint="eastAsia" w:ascii="宋体" w:hAnsi="宋体" w:eastAsia="宋体" w:cs="宋体"/>
          <w:color w:val="auto"/>
          <w:sz w:val="21"/>
          <w:szCs w:val="21"/>
          <w:highlight w:val="none"/>
          <w:lang w:val="en-US" w:eastAsia="zh-CN"/>
        </w:rPr>
        <w:t>天，其中包括：货物生产、把货物运输至采购方指定的地点并安装交付采购方使用。</w:t>
      </w:r>
    </w:p>
    <w:p>
      <w:pPr>
        <w:spacing w:after="0"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安装所需工具设施物料由中标人自备、自费运到现场，完工后自费搬走，并对安装现场进行清理，保证不对建设场地环境造成任何不良影响。安装过程发生的安装费、材料费、人工费、清理费等全部费用由中标人负责。</w:t>
      </w:r>
    </w:p>
    <w:p>
      <w:pPr>
        <w:spacing w:after="0"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3、货物的装箱、安装、调试等工作由中标人负责，但必须在采购人的指定人员参与下进行。</w:t>
      </w:r>
    </w:p>
    <w:p>
      <w:pPr>
        <w:spacing w:after="0"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4、中标人必须提供货物的装箱清单，按装箱清单验收货物。</w:t>
      </w:r>
    </w:p>
    <w:p>
      <w:pPr>
        <w:spacing w:after="0"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5、货物在验收合格前出现损坏的，由供应商负责该损坏货物的免费更换或维修。</w:t>
      </w:r>
    </w:p>
    <w:p>
      <w:pPr>
        <w:spacing w:after="0" w:line="360" w:lineRule="auto"/>
        <w:ind w:firstLine="420" w:firstLineChars="200"/>
        <w:rPr>
          <w:rFonts w:hint="eastAsia" w:ascii="宋体" w:hAnsi="宋体" w:eastAsia="宋体" w:cs="宋体"/>
          <w:color w:val="auto"/>
          <w:sz w:val="21"/>
          <w:szCs w:val="21"/>
          <w:highlight w:val="none"/>
        </w:rPr>
      </w:pPr>
    </w:p>
    <w:p>
      <w:pPr>
        <w:pStyle w:val="23"/>
        <w:keepNext w:val="0"/>
        <w:keepLines w:val="0"/>
        <w:pageBreakBefore w:val="0"/>
        <w:widowControl/>
        <w:numPr>
          <w:ilvl w:val="0"/>
          <w:numId w:val="1"/>
        </w:numPr>
        <w:kinsoku/>
        <w:wordWrap/>
        <w:overflowPunct/>
        <w:topLinePunct w:val="0"/>
        <w:autoSpaceDE/>
        <w:autoSpaceDN/>
        <w:bidi w:val="0"/>
        <w:adjustRightInd w:val="0"/>
        <w:snapToGrid w:val="0"/>
        <w:spacing w:after="0" w:line="360" w:lineRule="auto"/>
        <w:ind w:left="0" w:firstLine="0" w:firstLineChars="0"/>
        <w:textAlignment w:val="auto"/>
        <w:outlineLvl w:val="9"/>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lang w:eastAsia="zh-CN"/>
        </w:rPr>
        <w:t>付款方式</w:t>
      </w:r>
    </w:p>
    <w:p>
      <w:pPr>
        <w:spacing w:after="0" w:line="360" w:lineRule="auto"/>
        <w:ind w:firstLine="420" w:firstLineChars="200"/>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1、预付款：签订合同后，支付合同总价的30%。</w:t>
      </w:r>
    </w:p>
    <w:p>
      <w:pPr>
        <w:spacing w:after="0" w:line="360" w:lineRule="auto"/>
        <w:ind w:firstLine="420" w:firstLineChars="200"/>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2</w:t>
      </w:r>
      <w:r>
        <w:rPr>
          <w:rFonts w:hint="eastAsia" w:ascii="宋体" w:hAnsi="宋体" w:eastAsia="宋体" w:cs="宋体"/>
          <w:color w:val="auto"/>
          <w:sz w:val="21"/>
          <w:szCs w:val="21"/>
          <w:highlight w:val="none"/>
          <w:shd w:val="clear" w:color="auto" w:fill="auto"/>
        </w:rPr>
        <w:t>、设备安装调试结束并验收合格后，支付</w:t>
      </w:r>
      <w:r>
        <w:rPr>
          <w:rFonts w:hint="eastAsia" w:ascii="宋体" w:hAnsi="宋体" w:eastAsia="宋体" w:cs="宋体"/>
          <w:color w:val="auto"/>
          <w:sz w:val="21"/>
          <w:szCs w:val="21"/>
          <w:highlight w:val="none"/>
          <w:shd w:val="clear" w:color="auto" w:fill="auto"/>
          <w:lang w:eastAsia="zh-CN"/>
        </w:rPr>
        <w:t>至</w:t>
      </w:r>
      <w:r>
        <w:rPr>
          <w:rFonts w:hint="eastAsia" w:ascii="宋体" w:hAnsi="宋体" w:eastAsia="宋体" w:cs="宋体"/>
          <w:color w:val="auto"/>
          <w:sz w:val="21"/>
          <w:szCs w:val="21"/>
          <w:highlight w:val="none"/>
          <w:shd w:val="clear" w:color="auto" w:fill="auto"/>
        </w:rPr>
        <w:t>合同总价的</w:t>
      </w:r>
      <w:r>
        <w:rPr>
          <w:rFonts w:hint="eastAsia" w:ascii="宋体" w:hAnsi="宋体" w:eastAsia="宋体" w:cs="宋体"/>
          <w:color w:val="auto"/>
          <w:sz w:val="21"/>
          <w:szCs w:val="21"/>
          <w:highlight w:val="none"/>
          <w:shd w:val="clear" w:color="auto" w:fill="auto"/>
          <w:lang w:val="en-US" w:eastAsia="zh-CN"/>
        </w:rPr>
        <w:t>9</w:t>
      </w:r>
      <w:r>
        <w:rPr>
          <w:rFonts w:hint="eastAsia" w:ascii="宋体" w:hAnsi="宋体" w:eastAsia="宋体" w:cs="宋体"/>
          <w:color w:val="auto"/>
          <w:sz w:val="21"/>
          <w:szCs w:val="21"/>
          <w:highlight w:val="none"/>
          <w:shd w:val="clear" w:color="auto" w:fill="auto"/>
        </w:rPr>
        <w:t>5%。</w:t>
      </w:r>
    </w:p>
    <w:p>
      <w:pPr>
        <w:spacing w:after="0" w:line="360" w:lineRule="auto"/>
        <w:ind w:firstLine="420" w:firstLineChars="200"/>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3</w:t>
      </w:r>
      <w:r>
        <w:rPr>
          <w:rFonts w:hint="eastAsia" w:ascii="宋体" w:hAnsi="宋体" w:eastAsia="宋体" w:cs="宋体"/>
          <w:color w:val="auto"/>
          <w:sz w:val="21"/>
          <w:szCs w:val="21"/>
          <w:highlight w:val="none"/>
          <w:shd w:val="clear" w:color="auto" w:fill="auto"/>
        </w:rPr>
        <w:t>、从验收合格之日起，正常使用12个月后，支付合同总价的5％。</w:t>
      </w:r>
    </w:p>
    <w:p>
      <w:pPr>
        <w:spacing w:after="0" w:line="360" w:lineRule="auto"/>
        <w:ind w:firstLine="420" w:firstLineChars="200"/>
        <w:rPr>
          <w:rFonts w:hint="eastAsia" w:ascii="宋体" w:hAnsi="宋体" w:eastAsia="宋体" w:cs="宋体"/>
          <w:color w:val="auto"/>
          <w:sz w:val="21"/>
          <w:szCs w:val="21"/>
          <w:highlight w:val="none"/>
        </w:rPr>
      </w:pPr>
    </w:p>
    <w:p>
      <w:pPr>
        <w:pStyle w:val="23"/>
        <w:keepNext w:val="0"/>
        <w:keepLines w:val="0"/>
        <w:pageBreakBefore w:val="0"/>
        <w:widowControl/>
        <w:numPr>
          <w:ilvl w:val="0"/>
          <w:numId w:val="1"/>
        </w:numPr>
        <w:kinsoku/>
        <w:wordWrap/>
        <w:overflowPunct/>
        <w:topLinePunct w:val="0"/>
        <w:autoSpaceDE/>
        <w:autoSpaceDN/>
        <w:bidi w:val="0"/>
        <w:adjustRightInd w:val="0"/>
        <w:snapToGrid w:val="0"/>
        <w:spacing w:after="0" w:line="360" w:lineRule="auto"/>
        <w:ind w:left="0" w:firstLine="0" w:firstLineChars="0"/>
        <w:textAlignment w:val="auto"/>
        <w:outlineLvl w:val="9"/>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lang w:eastAsia="zh-CN"/>
        </w:rPr>
        <w:t>售后服务</w:t>
      </w:r>
    </w:p>
    <w:p>
      <w:pPr>
        <w:spacing w:after="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1、免费送货上门、安装、调试，并示范使用、保养。</w:t>
      </w:r>
    </w:p>
    <w:p>
      <w:pPr>
        <w:spacing w:after="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2、质保期：项目安装调试完成、验收合格后壹年，中标人负责指导用户使用。</w:t>
      </w:r>
    </w:p>
    <w:p>
      <w:pPr>
        <w:spacing w:after="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3、售后服务响应时间：免费保修期间及期满的售后服务，接到电话后4小时内到达现场，8小时内不能维修好的，则提供同类产品更换或备用，以保证饭堂正常运作。</w:t>
      </w:r>
    </w:p>
    <w:p>
      <w:pPr>
        <w:spacing w:after="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4、投标人需在投标文件中提供完整的服务体系和相应的具体措施。</w:t>
      </w:r>
    </w:p>
    <w:p>
      <w:pPr>
        <w:spacing w:after="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5、投标人需在投标文件中提供定期检查制度和保养方案。</w:t>
      </w:r>
    </w:p>
    <w:p>
      <w:pPr>
        <w:pStyle w:val="23"/>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leftChars="0"/>
        <w:textAlignment w:val="auto"/>
        <w:outlineLvl w:val="9"/>
        <w:rPr>
          <w:rFonts w:hint="eastAsia" w:ascii="宋体" w:hAnsi="宋体" w:eastAsia="宋体" w:cs="宋体"/>
          <w:b/>
          <w:color w:val="auto"/>
          <w:sz w:val="24"/>
          <w:highlight w:val="none"/>
          <w:lang w:eastAsia="zh-CN"/>
        </w:rPr>
      </w:pPr>
    </w:p>
    <w:p>
      <w:pPr>
        <w:pStyle w:val="23"/>
        <w:keepNext w:val="0"/>
        <w:keepLines w:val="0"/>
        <w:pageBreakBefore w:val="0"/>
        <w:widowControl/>
        <w:numPr>
          <w:ilvl w:val="0"/>
          <w:numId w:val="1"/>
        </w:numPr>
        <w:kinsoku/>
        <w:wordWrap/>
        <w:overflowPunct/>
        <w:topLinePunct w:val="0"/>
        <w:autoSpaceDE/>
        <w:autoSpaceDN/>
        <w:bidi w:val="0"/>
        <w:adjustRightInd w:val="0"/>
        <w:snapToGrid w:val="0"/>
        <w:spacing w:after="0" w:line="360" w:lineRule="auto"/>
        <w:ind w:left="0" w:firstLine="0" w:firstLineChars="0"/>
        <w:textAlignment w:val="auto"/>
        <w:outlineLvl w:val="9"/>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lang w:eastAsia="zh-CN"/>
        </w:rPr>
        <w:t>其它</w:t>
      </w:r>
    </w:p>
    <w:p>
      <w:pPr>
        <w:numPr>
          <w:ilvl w:val="0"/>
          <w:numId w:val="2"/>
        </w:numPr>
        <w:spacing w:after="0"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依据招标文件的规定，招标文件的技术规格中指出的工艺、材料和设备的标准以及参照的品牌或型号仅起说明作用，并没有任何限制性。投标人在投标中可以选用替代标准、品牌或型号，但这些替代要实质上满足或超过招标文件的要求。项目评审时，由评标委员会负责对投标人提供的替代标准、品牌或型号的响应性进行审查。</w:t>
      </w:r>
    </w:p>
    <w:p>
      <w:pPr>
        <w:numPr>
          <w:ilvl w:val="0"/>
          <w:numId w:val="2"/>
        </w:numPr>
        <w:spacing w:after="0"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单位应保证提供的货物在不需要增配未列出配件（特别指出的除外）的前提下货物功能、技术标准能够达到招标文件的要求，而无须再增配未列出的配件；如供应商所提供的产品需要增配配件才能达到要求的，所增配的配件须由供应商免费提供。</w:t>
      </w:r>
    </w:p>
    <w:p>
      <w:pPr>
        <w:numPr>
          <w:ilvl w:val="0"/>
          <w:numId w:val="2"/>
        </w:numPr>
        <w:spacing w:after="0"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本需求书中涉及所有产品的尺寸、重量允许出现合理范围内的偏差，若不能满足采购人的使用要求，应根据采购人的实际需求进行调整。</w:t>
      </w:r>
    </w:p>
    <w:p>
      <w:pPr>
        <w:numPr>
          <w:ilvl w:val="0"/>
          <w:numId w:val="2"/>
        </w:numPr>
        <w:spacing w:after="0"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中标单位在供货安装过程中必须采取足够的安全措施，确保施工的安全，并自行负责相关安全责任。</w:t>
      </w:r>
    </w:p>
    <w:p>
      <w:pPr>
        <w:numPr>
          <w:ilvl w:val="0"/>
          <w:numId w:val="2"/>
        </w:numPr>
        <w:spacing w:after="0"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中标单位在安装过程中，如需对场地作局部破损，必须在供货安装实施前取得采购人的书面同意，并承诺负责恢复原状，采购人不另行支付任何费用</w:t>
      </w:r>
      <w:r>
        <w:rPr>
          <w:rFonts w:hint="eastAsia" w:ascii="宋体" w:hAnsi="宋体" w:eastAsia="宋体" w:cs="宋体"/>
          <w:color w:val="auto"/>
          <w:sz w:val="21"/>
          <w:szCs w:val="21"/>
          <w:highlight w:val="none"/>
          <w:lang w:eastAsia="zh-CN"/>
        </w:rPr>
        <w:t>。</w:t>
      </w:r>
    </w:p>
    <w:p>
      <w:pPr>
        <w:numPr>
          <w:ilvl w:val="0"/>
          <w:numId w:val="2"/>
        </w:numPr>
        <w:spacing w:after="0"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投标人应根据采购要求，在投标文件中提供切实可行的实施服务方案。</w:t>
      </w:r>
    </w:p>
    <w:p>
      <w:pPr>
        <w:numPr>
          <w:ilvl w:val="0"/>
          <w:numId w:val="2"/>
        </w:numPr>
        <w:spacing w:after="0"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项目未尽事宜将在采购合同中另行约定，中标单位需无条件同意采购人基于为顺利完成本项目所提出的各项合理要求。</w:t>
      </w:r>
    </w:p>
    <w:p>
      <w:pPr>
        <w:spacing w:after="0" w:line="360" w:lineRule="auto"/>
        <w:ind w:firstLine="422" w:firstLineChars="200"/>
        <w:rPr>
          <w:rFonts w:hint="eastAsia" w:ascii="宋体" w:hAnsi="宋体" w:eastAsia="宋体" w:cs="宋体"/>
          <w:b/>
          <w:bCs/>
          <w:color w:val="auto"/>
          <w:sz w:val="21"/>
          <w:szCs w:val="21"/>
        </w:rPr>
      </w:pPr>
    </w:p>
    <w:p>
      <w:pPr>
        <w:spacing w:after="0" w:line="360" w:lineRule="auto"/>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注：不满足招标文件中 “★”条款的投标文件将作无效投标处理。</w:t>
      </w:r>
      <w:bookmarkEnd w:id="6"/>
      <w:bookmarkEnd w:id="7"/>
      <w:bookmarkEnd w:id="8"/>
      <w:bookmarkEnd w:id="9"/>
    </w:p>
    <w:p>
      <w:pPr>
        <w:pStyle w:val="3"/>
        <w:spacing w:before="0" w:after="0"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br w:type="page"/>
      </w:r>
      <w:bookmarkStart w:id="10" w:name="_Toc18811"/>
      <w:r>
        <w:rPr>
          <w:rFonts w:hint="eastAsia" w:ascii="宋体" w:hAnsi="宋体" w:eastAsia="宋体" w:cs="宋体"/>
          <w:color w:val="auto"/>
          <w:sz w:val="28"/>
          <w:szCs w:val="28"/>
        </w:rPr>
        <w:t>第四部分 投标人须知</w:t>
      </w:r>
      <w:bookmarkEnd w:id="10"/>
    </w:p>
    <w:p>
      <w:pPr>
        <w:pStyle w:val="4"/>
        <w:numPr>
          <w:ilvl w:val="0"/>
          <w:numId w:val="3"/>
        </w:numPr>
        <w:spacing w:before="0" w:after="0" w:line="480" w:lineRule="auto"/>
        <w:jc w:val="center"/>
        <w:rPr>
          <w:rFonts w:hint="eastAsia" w:ascii="宋体" w:hAnsi="宋体" w:eastAsia="宋体" w:cs="宋体"/>
          <w:color w:val="auto"/>
        </w:rPr>
      </w:pPr>
      <w:bookmarkStart w:id="11" w:name="_Toc9559"/>
      <w:r>
        <w:rPr>
          <w:rFonts w:hint="eastAsia" w:ascii="宋体" w:hAnsi="宋体" w:eastAsia="宋体" w:cs="宋体"/>
          <w:color w:val="auto"/>
        </w:rPr>
        <w:t>说明</w:t>
      </w:r>
      <w:bookmarkEnd w:id="11"/>
    </w:p>
    <w:p>
      <w:pPr>
        <w:pStyle w:val="5"/>
        <w:widowControl w:val="0"/>
        <w:overflowPunct w:val="0"/>
        <w:spacing w:before="0" w:after="0" w:line="240" w:lineRule="auto"/>
        <w:rPr>
          <w:rFonts w:hint="eastAsia" w:ascii="宋体" w:hAnsi="宋体" w:eastAsia="宋体" w:cs="宋体"/>
          <w:color w:val="auto"/>
          <w:sz w:val="21"/>
          <w:szCs w:val="21"/>
        </w:rPr>
      </w:pPr>
      <w:bookmarkStart w:id="12" w:name="_Toc18092"/>
      <w:r>
        <w:rPr>
          <w:rFonts w:hint="eastAsia" w:ascii="宋体" w:hAnsi="宋体" w:eastAsia="宋体" w:cs="宋体"/>
          <w:color w:val="auto"/>
          <w:sz w:val="21"/>
          <w:szCs w:val="21"/>
        </w:rPr>
        <w:t>1.适用范围</w:t>
      </w:r>
      <w:bookmarkEnd w:id="12"/>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招标范围：见本文件《用户需求书》</w:t>
      </w:r>
    </w:p>
    <w:p>
      <w:pPr>
        <w:rPr>
          <w:rFonts w:hint="eastAsia" w:ascii="宋体" w:hAnsi="宋体" w:eastAsia="宋体" w:cs="宋体"/>
          <w:color w:val="auto"/>
        </w:rPr>
      </w:pPr>
    </w:p>
    <w:p>
      <w:pPr>
        <w:pStyle w:val="5"/>
        <w:widowControl w:val="0"/>
        <w:overflowPunct w:val="0"/>
        <w:spacing w:before="0" w:after="0" w:line="240" w:lineRule="auto"/>
        <w:rPr>
          <w:rFonts w:hint="eastAsia" w:ascii="宋体" w:hAnsi="宋体" w:eastAsia="宋体" w:cs="宋体"/>
          <w:color w:val="auto"/>
          <w:sz w:val="21"/>
          <w:szCs w:val="21"/>
        </w:rPr>
      </w:pPr>
      <w:bookmarkStart w:id="13" w:name="_Toc14885"/>
      <w:r>
        <w:rPr>
          <w:rFonts w:hint="eastAsia" w:ascii="宋体" w:hAnsi="宋体" w:eastAsia="宋体" w:cs="宋体"/>
          <w:color w:val="auto"/>
          <w:sz w:val="21"/>
          <w:szCs w:val="21"/>
        </w:rPr>
        <w:t>2.</w:t>
      </w:r>
      <w:bookmarkStart w:id="14" w:name="_Toc298847174"/>
      <w:bookmarkStart w:id="15" w:name="_Toc1530"/>
      <w:bookmarkStart w:id="16" w:name="_Toc382049092"/>
      <w:bookmarkStart w:id="17" w:name="_Toc303084246"/>
      <w:r>
        <w:rPr>
          <w:rFonts w:hint="eastAsia" w:ascii="宋体" w:hAnsi="宋体" w:eastAsia="宋体" w:cs="宋体"/>
          <w:color w:val="auto"/>
          <w:sz w:val="21"/>
          <w:szCs w:val="21"/>
        </w:rPr>
        <w:t>定义</w:t>
      </w:r>
      <w:bookmarkEnd w:id="13"/>
      <w:bookmarkEnd w:id="14"/>
      <w:bookmarkEnd w:id="15"/>
      <w:bookmarkEnd w:id="16"/>
      <w:bookmarkEnd w:id="17"/>
    </w:p>
    <w:p>
      <w:pPr>
        <w:pStyle w:val="23"/>
        <w:widowControl w:val="0"/>
        <w:numPr>
          <w:ilvl w:val="0"/>
          <w:numId w:val="4"/>
        </w:numPr>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采购人：是指依法进行政府采购的国家机关、事业单位等团体组织。</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投标人：响应招标并且符合招标文件规定资格条件和参加投标竞争的法人、其他组织或者自然人。</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法人：法人是依法在国内进行注册并具有民事权利能力和民事行为能力，依法独立享有民事权利和承担民事义务的组织。</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中标人：指经评标委员会评审推荐、采购人确认的获得本项目中标资格的投标人。</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采购代理机构：</w:t>
      </w:r>
      <w:r>
        <w:rPr>
          <w:rFonts w:hint="eastAsia" w:ascii="宋体" w:hAnsi="宋体" w:eastAsia="宋体" w:cs="宋体"/>
          <w:color w:val="auto"/>
          <w:sz w:val="21"/>
          <w:szCs w:val="21"/>
          <w:lang w:eastAsia="zh-CN"/>
        </w:rPr>
        <w:t>三方诚信招标有限公司</w:t>
      </w:r>
      <w:r>
        <w:rPr>
          <w:rFonts w:hint="eastAsia" w:ascii="宋体" w:hAnsi="宋体" w:eastAsia="宋体" w:cs="宋体"/>
          <w:color w:val="auto"/>
          <w:sz w:val="21"/>
          <w:szCs w:val="21"/>
        </w:rPr>
        <w:t>东莞分公司。</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评标委员会：评标委员会是依据</w:t>
      </w:r>
      <w:r>
        <w:rPr>
          <w:rFonts w:hint="eastAsia" w:ascii="宋体" w:hAnsi="宋体" w:eastAsia="宋体" w:cs="宋体"/>
          <w:color w:val="auto"/>
          <w:sz w:val="21"/>
          <w:szCs w:val="21"/>
          <w:lang w:eastAsia="zh-CN"/>
        </w:rPr>
        <w:t>相关规定</w:t>
      </w:r>
      <w:r>
        <w:rPr>
          <w:rFonts w:hint="eastAsia" w:ascii="宋体" w:hAnsi="宋体" w:eastAsia="宋体" w:cs="宋体"/>
          <w:color w:val="auto"/>
          <w:sz w:val="21"/>
          <w:szCs w:val="21"/>
        </w:rPr>
        <w:t>组建的专门负责本次招标其评标工作的临时性机构。</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合同：指由本次招标所产生的合同或合约文件。</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公章：公章是</w:t>
      </w:r>
      <w:r>
        <w:rPr>
          <w:rFonts w:hint="eastAsia" w:ascii="宋体" w:hAnsi="宋体" w:eastAsia="宋体" w:cs="宋体"/>
          <w:iCs/>
          <w:color w:val="auto"/>
          <w:sz w:val="21"/>
          <w:szCs w:val="21"/>
        </w:rPr>
        <w:t>指经过正规的法定程序并备案的法人公章与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r>
        <w:rPr>
          <w:rFonts w:hint="eastAsia" w:ascii="宋体" w:hAnsi="宋体" w:eastAsia="宋体" w:cs="宋体"/>
          <w:color w:val="auto"/>
          <w:sz w:val="21"/>
          <w:szCs w:val="21"/>
        </w:rPr>
        <w:t>）</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时间</w:t>
      </w:r>
      <w:r>
        <w:rPr>
          <w:rFonts w:hint="eastAsia" w:ascii="宋体" w:hAnsi="宋体" w:eastAsia="宋体" w:cs="宋体"/>
          <w:iCs/>
          <w:color w:val="auto"/>
          <w:sz w:val="21"/>
          <w:szCs w:val="21"/>
        </w:rPr>
        <w:t>：本文件规定按日计算期间的，开始当天不计入，从次日开始计算。期限的最后一日是国家法定节假日的，顺延到节假日后的次日为期限的最后一日。</w:t>
      </w:r>
    </w:p>
    <w:p>
      <w:pPr>
        <w:rPr>
          <w:rFonts w:hint="eastAsia" w:ascii="宋体" w:hAnsi="宋体" w:eastAsia="宋体" w:cs="宋体"/>
          <w:color w:val="auto"/>
        </w:rPr>
      </w:pPr>
    </w:p>
    <w:p>
      <w:pPr>
        <w:pStyle w:val="5"/>
        <w:widowControl w:val="0"/>
        <w:overflowPunct w:val="0"/>
        <w:spacing w:before="0" w:after="0" w:line="240" w:lineRule="auto"/>
        <w:rPr>
          <w:rFonts w:hint="eastAsia" w:ascii="宋体" w:hAnsi="宋体" w:eastAsia="宋体" w:cs="宋体"/>
          <w:color w:val="auto"/>
          <w:sz w:val="21"/>
          <w:szCs w:val="21"/>
        </w:rPr>
      </w:pPr>
      <w:bookmarkStart w:id="18" w:name="_Toc14014"/>
      <w:r>
        <w:rPr>
          <w:rFonts w:hint="eastAsia" w:ascii="宋体" w:hAnsi="宋体" w:eastAsia="宋体" w:cs="宋体"/>
          <w:color w:val="auto"/>
          <w:sz w:val="21"/>
          <w:szCs w:val="21"/>
        </w:rPr>
        <w:t>3.货物和服务</w:t>
      </w:r>
      <w:bookmarkEnd w:id="18"/>
    </w:p>
    <w:p>
      <w:pPr>
        <w:pStyle w:val="23"/>
        <w:widowControl w:val="0"/>
        <w:numPr>
          <w:ilvl w:val="0"/>
          <w:numId w:val="4"/>
        </w:numPr>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货物是指各种形态和种类的物品，包括原材料、燃料、设备、产品等。</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服务是指除货物和工程以外的其他采购对象。</w:t>
      </w:r>
    </w:p>
    <w:p>
      <w:pPr>
        <w:rPr>
          <w:rFonts w:hint="eastAsia" w:ascii="宋体" w:hAnsi="宋体" w:eastAsia="宋体" w:cs="宋体"/>
          <w:color w:val="auto"/>
        </w:rPr>
      </w:pPr>
    </w:p>
    <w:p>
      <w:pPr>
        <w:pStyle w:val="5"/>
        <w:widowControl w:val="0"/>
        <w:overflowPunct w:val="0"/>
        <w:spacing w:before="0" w:after="0" w:line="240" w:lineRule="auto"/>
        <w:rPr>
          <w:rFonts w:hint="eastAsia" w:ascii="宋体" w:hAnsi="宋体" w:eastAsia="宋体" w:cs="宋体"/>
          <w:color w:val="auto"/>
          <w:sz w:val="21"/>
          <w:szCs w:val="21"/>
        </w:rPr>
      </w:pPr>
      <w:bookmarkStart w:id="19" w:name="_Toc25490"/>
      <w:r>
        <w:rPr>
          <w:rFonts w:hint="eastAsia" w:ascii="宋体" w:hAnsi="宋体" w:eastAsia="宋体" w:cs="宋体"/>
          <w:color w:val="auto"/>
          <w:sz w:val="21"/>
          <w:szCs w:val="21"/>
        </w:rPr>
        <w:t>4.投标费用</w:t>
      </w:r>
      <w:bookmarkEnd w:id="19"/>
    </w:p>
    <w:p>
      <w:pPr>
        <w:pStyle w:val="23"/>
        <w:widowControl w:val="0"/>
        <w:numPr>
          <w:ilvl w:val="0"/>
          <w:numId w:val="4"/>
        </w:numPr>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投标人应承担所有与编写投标文件和参加投标有关的自身的所有费用，不论投标的结果如何，采购代理机构和采购人在任何情况下均无义务和责任承担这些费用。</w:t>
      </w:r>
    </w:p>
    <w:p>
      <w:pPr>
        <w:widowControl w:val="0"/>
        <w:adjustRightInd/>
        <w:snapToGrid/>
        <w:spacing w:after="0" w:line="360" w:lineRule="exact"/>
        <w:jc w:val="both"/>
        <w:rPr>
          <w:rFonts w:hint="eastAsia" w:ascii="宋体" w:hAnsi="宋体" w:eastAsia="宋体" w:cs="宋体"/>
          <w:color w:val="auto"/>
          <w:sz w:val="21"/>
          <w:szCs w:val="21"/>
        </w:rPr>
      </w:pPr>
    </w:p>
    <w:p>
      <w:pPr>
        <w:pStyle w:val="5"/>
        <w:widowControl w:val="0"/>
        <w:overflowPunct w:val="0"/>
        <w:spacing w:before="0" w:after="0" w:line="240" w:lineRule="auto"/>
        <w:rPr>
          <w:rFonts w:hint="eastAsia" w:ascii="宋体" w:hAnsi="宋体" w:eastAsia="宋体" w:cs="宋体"/>
          <w:color w:val="auto"/>
          <w:sz w:val="21"/>
          <w:szCs w:val="21"/>
        </w:rPr>
      </w:pPr>
      <w:bookmarkStart w:id="20" w:name="_Toc15919"/>
      <w:r>
        <w:rPr>
          <w:rFonts w:hint="eastAsia" w:ascii="宋体" w:hAnsi="宋体" w:eastAsia="宋体" w:cs="宋体"/>
          <w:color w:val="auto"/>
          <w:sz w:val="21"/>
          <w:szCs w:val="21"/>
        </w:rPr>
        <w:t>5.知识产权</w:t>
      </w:r>
      <w:bookmarkEnd w:id="20"/>
    </w:p>
    <w:p>
      <w:pPr>
        <w:pStyle w:val="23"/>
        <w:widowControl w:val="0"/>
        <w:numPr>
          <w:ilvl w:val="0"/>
          <w:numId w:val="4"/>
        </w:numPr>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采购人享有本项目实施过程中产生的知识成果及知识产权。</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投标人如欲在项目实施过程中采用自有知识成果，需在投标文件中声明，并提供相关知识产权证明文件。使用该知识成果后，投标人需提供开发接口和开发手册等技术文档。</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采购货物为计算机办公设备时，投标人提供的产品必须是预装正版操作系统软件的计算机产品。</w:t>
      </w:r>
    </w:p>
    <w:p>
      <w:pPr>
        <w:widowControl w:val="0"/>
        <w:adjustRightInd/>
        <w:snapToGrid/>
        <w:spacing w:after="0" w:line="360" w:lineRule="exact"/>
        <w:ind w:left="567"/>
        <w:jc w:val="both"/>
        <w:rPr>
          <w:rFonts w:hint="eastAsia" w:ascii="宋体" w:hAnsi="宋体" w:eastAsia="宋体" w:cs="宋体"/>
          <w:color w:val="auto"/>
          <w:sz w:val="21"/>
          <w:szCs w:val="21"/>
        </w:rPr>
      </w:pPr>
    </w:p>
    <w:p>
      <w:pPr>
        <w:pStyle w:val="5"/>
        <w:widowControl w:val="0"/>
        <w:overflowPunct w:val="0"/>
        <w:spacing w:before="0" w:after="0" w:line="240" w:lineRule="auto"/>
        <w:rPr>
          <w:rFonts w:hint="eastAsia" w:ascii="宋体" w:hAnsi="宋体" w:eastAsia="宋体" w:cs="宋体"/>
          <w:color w:val="auto"/>
          <w:sz w:val="21"/>
          <w:szCs w:val="21"/>
        </w:rPr>
      </w:pPr>
      <w:bookmarkStart w:id="21" w:name="_Toc28736"/>
      <w:r>
        <w:rPr>
          <w:rFonts w:hint="eastAsia" w:ascii="宋体" w:hAnsi="宋体" w:eastAsia="宋体" w:cs="宋体"/>
          <w:color w:val="auto"/>
          <w:sz w:val="21"/>
          <w:szCs w:val="21"/>
        </w:rPr>
        <w:t>6.关于联合体投标</w:t>
      </w:r>
      <w:bookmarkEnd w:id="21"/>
    </w:p>
    <w:p>
      <w:pPr>
        <w:pStyle w:val="23"/>
        <w:widowControl w:val="0"/>
        <w:numPr>
          <w:ilvl w:val="0"/>
          <w:numId w:val="4"/>
        </w:numPr>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对接受联合体投标的项目：两个以上的自然人、法人或者其他组织可以组成一个联合体，以一个投标人的身份共同参加政府采购。</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联合体各方均应当符合《政府采购法》第二十二条规定的条件。</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采购人根据采购项目的特殊要求规定投标人特定条件的，联合体各方中至少应当有一方符合采购人规定的特定条件。</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联合体各方之间应当签订共同投标协议并在投标文件内提交，明确约定联合体各方承担的工作和相应的责任。联合体各方签订共同投标协议后，不得再以自己名义单独在同一项目中投标，也不得组成新的联合体参加同一项目投标。</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供应商为联合体的，可以由联合体中的任意一方交纳保证金，其交纳的保证金对联合体各方均具有约束力。</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联合体中有同类资质的投标人按照联合体分工承担相同工作的，应当按照资质等级较低的供应商确定资质等级。</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联合体各方均为小型、微型企业的，各方均应提供《中小企业声明函》；中小企业声明函作为联合体一方参与政府采购活动，且《共同投标协议书》中约定，小型、微型企业的协议合同金额占到联合体协议合同总金额30%以上的，应附中小微企业的《中小企业声明函》。</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除联合体协议明确授权盖章单位外，联合体投标时投标文件中所有要求盖章的地方均须加盖联合体所有组成成员的公章，否则该处盖章无效。</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联合体进行评分时，业绩、奖项等的认定和评分根据共同投标协议约定的各方承担的工作和相应责任，确定一方打分，不累加打分；评审标准不明确或难以明确以哪一方计算评分情况时，则按主体方情况评分。</w:t>
      </w:r>
    </w:p>
    <w:p>
      <w:pPr>
        <w:widowControl w:val="0"/>
        <w:adjustRightInd/>
        <w:snapToGrid/>
        <w:spacing w:after="0" w:line="360" w:lineRule="exact"/>
        <w:ind w:left="567"/>
        <w:jc w:val="both"/>
        <w:rPr>
          <w:rFonts w:hint="eastAsia" w:ascii="宋体" w:hAnsi="宋体" w:eastAsia="宋体" w:cs="宋体"/>
          <w:color w:val="auto"/>
          <w:sz w:val="21"/>
          <w:szCs w:val="21"/>
        </w:rPr>
      </w:pPr>
    </w:p>
    <w:p>
      <w:pPr>
        <w:pStyle w:val="5"/>
        <w:widowControl w:val="0"/>
        <w:overflowPunct w:val="0"/>
        <w:spacing w:before="0" w:after="0" w:line="240" w:lineRule="auto"/>
        <w:rPr>
          <w:rFonts w:hint="eastAsia" w:ascii="宋体" w:hAnsi="宋体" w:eastAsia="宋体" w:cs="宋体"/>
          <w:color w:val="auto"/>
          <w:sz w:val="21"/>
          <w:szCs w:val="21"/>
        </w:rPr>
      </w:pPr>
      <w:bookmarkStart w:id="22" w:name="_Toc9408"/>
      <w:r>
        <w:rPr>
          <w:rFonts w:hint="eastAsia" w:ascii="宋体" w:hAnsi="宋体" w:eastAsia="宋体" w:cs="宋体"/>
          <w:color w:val="auto"/>
          <w:sz w:val="21"/>
          <w:szCs w:val="21"/>
        </w:rPr>
        <w:t>7.关于分支机构投标</w:t>
      </w:r>
      <w:bookmarkEnd w:id="22"/>
    </w:p>
    <w:p>
      <w:pPr>
        <w:pStyle w:val="23"/>
        <w:widowControl w:val="0"/>
        <w:numPr>
          <w:ilvl w:val="0"/>
          <w:numId w:val="4"/>
        </w:numPr>
        <w:adjustRightInd/>
        <w:snapToGrid/>
        <w:spacing w:after="0" w:line="360" w:lineRule="exact"/>
        <w:ind w:firstLineChars="0"/>
        <w:jc w:val="both"/>
        <w:rPr>
          <w:rFonts w:hint="eastAsia" w:ascii="宋体" w:hAnsi="宋体" w:eastAsia="宋体" w:cs="宋体"/>
          <w:vanish/>
          <w:color w:val="auto"/>
          <w:sz w:val="21"/>
          <w:szCs w:val="21"/>
        </w:rPr>
      </w:pPr>
      <w:bookmarkStart w:id="23" w:name="EB389f116341dd4693875bc7987e7327f3"/>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对可接受分支机构投标的项目，分支机构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23"/>
    </w:p>
    <w:p>
      <w:pPr>
        <w:rPr>
          <w:rFonts w:hint="eastAsia" w:ascii="宋体" w:hAnsi="宋体" w:eastAsia="宋体" w:cs="宋体"/>
          <w:color w:val="auto"/>
        </w:rPr>
      </w:pPr>
    </w:p>
    <w:p>
      <w:pPr>
        <w:pStyle w:val="4"/>
        <w:numPr>
          <w:ilvl w:val="0"/>
          <w:numId w:val="3"/>
        </w:numPr>
        <w:spacing w:before="0" w:after="0" w:line="480" w:lineRule="auto"/>
        <w:jc w:val="center"/>
        <w:rPr>
          <w:rFonts w:hint="eastAsia" w:ascii="宋体" w:hAnsi="宋体" w:eastAsia="宋体" w:cs="宋体"/>
          <w:color w:val="auto"/>
        </w:rPr>
      </w:pPr>
      <w:bookmarkStart w:id="24" w:name="_Toc13781"/>
      <w:r>
        <w:rPr>
          <w:rFonts w:hint="eastAsia" w:ascii="宋体" w:hAnsi="宋体" w:eastAsia="宋体" w:cs="宋体"/>
          <w:color w:val="auto"/>
        </w:rPr>
        <w:t>招标文件</w:t>
      </w:r>
      <w:bookmarkEnd w:id="24"/>
    </w:p>
    <w:p>
      <w:pPr>
        <w:pStyle w:val="5"/>
        <w:widowControl w:val="0"/>
        <w:overflowPunct w:val="0"/>
        <w:spacing w:before="0" w:after="0" w:line="240" w:lineRule="auto"/>
        <w:rPr>
          <w:rFonts w:hint="eastAsia" w:ascii="宋体" w:hAnsi="宋体" w:eastAsia="宋体" w:cs="宋体"/>
          <w:color w:val="auto"/>
          <w:sz w:val="21"/>
          <w:szCs w:val="21"/>
        </w:rPr>
      </w:pPr>
      <w:bookmarkStart w:id="25" w:name="_Toc2761"/>
      <w:r>
        <w:rPr>
          <w:rFonts w:hint="eastAsia" w:ascii="宋体" w:hAnsi="宋体" w:eastAsia="宋体" w:cs="宋体"/>
          <w:color w:val="auto"/>
          <w:sz w:val="21"/>
          <w:szCs w:val="21"/>
        </w:rPr>
        <w:t>8.招标文件的组成</w:t>
      </w:r>
      <w:bookmarkEnd w:id="25"/>
    </w:p>
    <w:p>
      <w:pPr>
        <w:pStyle w:val="23"/>
        <w:widowControl w:val="0"/>
        <w:numPr>
          <w:ilvl w:val="0"/>
          <w:numId w:val="4"/>
        </w:numPr>
        <w:adjustRightInd/>
        <w:snapToGrid/>
        <w:spacing w:after="0" w:line="360" w:lineRule="exact"/>
        <w:ind w:firstLineChars="0"/>
        <w:jc w:val="both"/>
        <w:rPr>
          <w:rFonts w:hint="eastAsia" w:ascii="宋体" w:hAnsi="宋体" w:eastAsia="宋体" w:cs="宋体"/>
          <w:vanish/>
          <w:color w:val="auto"/>
          <w:sz w:val="21"/>
          <w:szCs w:val="21"/>
        </w:rPr>
      </w:pPr>
    </w:p>
    <w:p>
      <w:pPr>
        <w:widowControl w:val="0"/>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招标文件包括：</w:t>
      </w:r>
    </w:p>
    <w:p>
      <w:pPr>
        <w:widowControl w:val="0"/>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）投标邀请书；</w:t>
      </w:r>
    </w:p>
    <w:p>
      <w:pPr>
        <w:widowControl w:val="0"/>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）投标资料表；</w:t>
      </w:r>
    </w:p>
    <w:p>
      <w:pPr>
        <w:widowControl w:val="0"/>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）用户需求书；</w:t>
      </w:r>
    </w:p>
    <w:p>
      <w:pPr>
        <w:widowControl w:val="0"/>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）投标人须知；</w:t>
      </w:r>
    </w:p>
    <w:p>
      <w:pPr>
        <w:widowControl w:val="0"/>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）拟签订的合同文本；</w:t>
      </w:r>
    </w:p>
    <w:p>
      <w:pPr>
        <w:widowControl w:val="0"/>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）投标文件格式；</w:t>
      </w:r>
    </w:p>
    <w:p>
      <w:pPr>
        <w:widowControl w:val="0"/>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）在招标过程中由采购代理机构发出的澄清更正文件等。</w:t>
      </w:r>
    </w:p>
    <w:p>
      <w:pPr>
        <w:rPr>
          <w:rFonts w:hint="eastAsia" w:ascii="宋体" w:hAnsi="宋体" w:eastAsia="宋体" w:cs="宋体"/>
          <w:color w:val="auto"/>
        </w:rPr>
      </w:pPr>
    </w:p>
    <w:p>
      <w:pPr>
        <w:pStyle w:val="5"/>
        <w:widowControl w:val="0"/>
        <w:overflowPunct w:val="0"/>
        <w:spacing w:before="0" w:after="0" w:line="240" w:lineRule="auto"/>
        <w:rPr>
          <w:rFonts w:hint="eastAsia" w:ascii="宋体" w:hAnsi="宋体" w:eastAsia="宋体" w:cs="宋体"/>
          <w:color w:val="auto"/>
          <w:sz w:val="21"/>
          <w:szCs w:val="21"/>
        </w:rPr>
      </w:pPr>
      <w:bookmarkStart w:id="26" w:name="_Toc30594"/>
      <w:r>
        <w:rPr>
          <w:rFonts w:hint="eastAsia" w:ascii="宋体" w:hAnsi="宋体" w:eastAsia="宋体" w:cs="宋体"/>
          <w:color w:val="auto"/>
          <w:sz w:val="21"/>
          <w:szCs w:val="21"/>
        </w:rPr>
        <w:t>9.招标文件的澄清或修改</w:t>
      </w:r>
      <w:bookmarkEnd w:id="26"/>
    </w:p>
    <w:p>
      <w:pPr>
        <w:pStyle w:val="23"/>
        <w:widowControl w:val="0"/>
        <w:numPr>
          <w:ilvl w:val="0"/>
          <w:numId w:val="4"/>
        </w:numPr>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采购人或者采购代理机构可以对已发出的招标文件、资格预审文件、投标邀请书进行必要的澄清或者修改。澄清或者修改的内容为招标文件、资格预审文件、投标邀请书的组成部分，具有约束作用。当招标文件、招标文件的澄清或修改等在同一内容的表述上不一致时，以最后发出的书面文件及公告为准。</w:t>
      </w:r>
    </w:p>
    <w:p>
      <w:pPr>
        <w:widowControl w:val="0"/>
        <w:numPr>
          <w:ilvl w:val="1"/>
          <w:numId w:val="4"/>
        </w:numPr>
        <w:adjustRightInd/>
        <w:snapToGrid/>
        <w:spacing w:after="0" w:line="360" w:lineRule="exact"/>
        <w:jc w:val="both"/>
        <w:rPr>
          <w:rFonts w:hint="eastAsia" w:ascii="宋体" w:hAnsi="宋体" w:eastAsia="宋体" w:cs="宋体"/>
          <w:b/>
          <w:bCs/>
          <w:color w:val="auto"/>
          <w:sz w:val="21"/>
          <w:szCs w:val="21"/>
        </w:rPr>
      </w:pPr>
      <w:r>
        <w:rPr>
          <w:rFonts w:hint="eastAsia" w:ascii="宋体" w:hAnsi="宋体" w:eastAsia="宋体" w:cs="宋体"/>
          <w:b/>
          <w:bCs/>
          <w:color w:val="auto"/>
          <w:sz w:val="21"/>
          <w:szCs w:val="21"/>
        </w:rPr>
        <w:t>招标期间，投标人有义务上网查看，公告一经上网发布，即视为送达。因投标人未及时上网查看而造成的所有后果，由投标人自行承担。</w:t>
      </w:r>
    </w:p>
    <w:p>
      <w:pPr>
        <w:widowControl w:val="0"/>
        <w:adjustRightInd/>
        <w:snapToGrid/>
        <w:spacing w:after="0" w:line="360" w:lineRule="exact"/>
        <w:ind w:left="567"/>
        <w:jc w:val="both"/>
        <w:rPr>
          <w:rFonts w:hint="eastAsia" w:ascii="宋体" w:hAnsi="宋体" w:eastAsia="宋体" w:cs="宋体"/>
          <w:color w:val="auto"/>
          <w:sz w:val="21"/>
          <w:szCs w:val="21"/>
        </w:rPr>
      </w:pPr>
    </w:p>
    <w:p>
      <w:pPr>
        <w:pStyle w:val="4"/>
        <w:numPr>
          <w:ilvl w:val="0"/>
          <w:numId w:val="3"/>
        </w:numPr>
        <w:spacing w:before="0" w:after="0" w:line="480" w:lineRule="auto"/>
        <w:jc w:val="center"/>
        <w:rPr>
          <w:rFonts w:hint="eastAsia" w:ascii="宋体" w:hAnsi="宋体" w:eastAsia="宋体" w:cs="宋体"/>
          <w:color w:val="auto"/>
        </w:rPr>
      </w:pPr>
      <w:bookmarkStart w:id="27" w:name="_Toc8709"/>
      <w:r>
        <w:rPr>
          <w:rFonts w:hint="eastAsia" w:ascii="宋体" w:hAnsi="宋体" w:eastAsia="宋体" w:cs="宋体"/>
          <w:color w:val="auto"/>
        </w:rPr>
        <w:t>投标文件的编制</w:t>
      </w:r>
      <w:bookmarkEnd w:id="27"/>
    </w:p>
    <w:p>
      <w:pPr>
        <w:pStyle w:val="5"/>
        <w:widowControl w:val="0"/>
        <w:overflowPunct w:val="0"/>
        <w:spacing w:before="0" w:after="0" w:line="240" w:lineRule="auto"/>
        <w:rPr>
          <w:rFonts w:hint="eastAsia" w:ascii="宋体" w:hAnsi="宋体" w:eastAsia="宋体" w:cs="宋体"/>
          <w:color w:val="auto"/>
          <w:sz w:val="21"/>
          <w:szCs w:val="21"/>
        </w:rPr>
      </w:pPr>
      <w:bookmarkStart w:id="28" w:name="_Toc30245"/>
      <w:r>
        <w:rPr>
          <w:rFonts w:hint="eastAsia" w:ascii="宋体" w:hAnsi="宋体" w:eastAsia="宋体" w:cs="宋体"/>
          <w:color w:val="auto"/>
          <w:sz w:val="21"/>
          <w:szCs w:val="21"/>
        </w:rPr>
        <w:t>10.投标文件的语言及度量衡单位</w:t>
      </w:r>
      <w:bookmarkEnd w:id="28"/>
    </w:p>
    <w:p>
      <w:pPr>
        <w:pStyle w:val="23"/>
        <w:widowControl w:val="0"/>
        <w:numPr>
          <w:ilvl w:val="0"/>
          <w:numId w:val="4"/>
        </w:numPr>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除非招标文件在技术规格中另有规定，投标人在投标文件中及其与采购代理机构和采购人所有往来文件中的所有计量单位均应采用中华人民共和国法定计量单位。</w:t>
      </w:r>
    </w:p>
    <w:p>
      <w:pPr>
        <w:widowControl w:val="0"/>
        <w:adjustRightInd/>
        <w:snapToGrid/>
        <w:spacing w:after="0" w:line="360" w:lineRule="exact"/>
        <w:ind w:left="567"/>
        <w:jc w:val="both"/>
        <w:rPr>
          <w:rFonts w:hint="eastAsia" w:ascii="宋体" w:hAnsi="宋体" w:eastAsia="宋体" w:cs="宋体"/>
          <w:color w:val="auto"/>
          <w:sz w:val="21"/>
          <w:szCs w:val="21"/>
        </w:rPr>
      </w:pPr>
    </w:p>
    <w:p>
      <w:pPr>
        <w:pStyle w:val="5"/>
        <w:widowControl w:val="0"/>
        <w:overflowPunct w:val="0"/>
        <w:spacing w:before="0" w:after="0" w:line="240" w:lineRule="auto"/>
        <w:rPr>
          <w:rFonts w:hint="eastAsia" w:ascii="宋体" w:hAnsi="宋体" w:eastAsia="宋体" w:cs="宋体"/>
          <w:color w:val="auto"/>
          <w:sz w:val="21"/>
          <w:szCs w:val="21"/>
        </w:rPr>
      </w:pPr>
      <w:bookmarkStart w:id="29" w:name="_Toc28866"/>
      <w:bookmarkStart w:id="30" w:name="_Toc382049103"/>
      <w:bookmarkStart w:id="31" w:name="_Toc19904"/>
      <w:bookmarkStart w:id="32" w:name="_Toc303084256"/>
      <w:bookmarkStart w:id="33" w:name="_Toc307934854"/>
      <w:r>
        <w:rPr>
          <w:rFonts w:hint="eastAsia" w:ascii="宋体" w:hAnsi="宋体" w:eastAsia="宋体" w:cs="宋体"/>
          <w:color w:val="auto"/>
          <w:sz w:val="21"/>
          <w:szCs w:val="21"/>
        </w:rPr>
        <w:t>11.投标文件的组成</w:t>
      </w:r>
      <w:bookmarkEnd w:id="29"/>
      <w:bookmarkEnd w:id="30"/>
      <w:bookmarkEnd w:id="31"/>
      <w:bookmarkEnd w:id="32"/>
      <w:bookmarkEnd w:id="33"/>
    </w:p>
    <w:p>
      <w:pPr>
        <w:pStyle w:val="23"/>
        <w:widowControl w:val="0"/>
        <w:numPr>
          <w:ilvl w:val="0"/>
          <w:numId w:val="4"/>
        </w:numPr>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包括但不限于招标文件附件格式中要求提供的表格。</w:t>
      </w:r>
    </w:p>
    <w:p>
      <w:pPr>
        <w:widowControl w:val="0"/>
        <w:numPr>
          <w:ilvl w:val="1"/>
          <w:numId w:val="4"/>
        </w:numPr>
        <w:adjustRightInd/>
        <w:snapToGrid/>
        <w:spacing w:after="0" w:line="360" w:lineRule="exact"/>
        <w:jc w:val="both"/>
        <w:rPr>
          <w:rFonts w:hint="eastAsia" w:ascii="宋体" w:hAnsi="宋体" w:eastAsia="宋体" w:cs="宋体"/>
          <w:color w:val="auto"/>
        </w:rPr>
      </w:pPr>
      <w:r>
        <w:rPr>
          <w:rFonts w:hint="eastAsia" w:ascii="宋体" w:hAnsi="宋体" w:eastAsia="宋体" w:cs="宋体"/>
          <w:color w:val="auto"/>
          <w:sz w:val="21"/>
          <w:szCs w:val="21"/>
        </w:rPr>
        <w:t>上述文件须按顺序装订成册，并编制投标文件目录。除上述文件资料外投标人还须按投标人须知的要求制作“开标文件”。“开标文件”作为投标文件的一部分，但须单独密封。</w:t>
      </w:r>
    </w:p>
    <w:p>
      <w:pPr>
        <w:rPr>
          <w:rFonts w:hint="eastAsia" w:ascii="宋体" w:hAnsi="宋体" w:eastAsia="宋体" w:cs="宋体"/>
          <w:color w:val="auto"/>
        </w:rPr>
      </w:pPr>
    </w:p>
    <w:p>
      <w:pPr>
        <w:pStyle w:val="5"/>
        <w:widowControl w:val="0"/>
        <w:overflowPunct w:val="0"/>
        <w:spacing w:before="0" w:after="0" w:line="240" w:lineRule="auto"/>
        <w:rPr>
          <w:rFonts w:hint="eastAsia" w:ascii="宋体" w:hAnsi="宋体" w:eastAsia="宋体" w:cs="宋体"/>
          <w:color w:val="auto"/>
          <w:sz w:val="21"/>
          <w:szCs w:val="21"/>
        </w:rPr>
      </w:pPr>
      <w:bookmarkStart w:id="34" w:name="_Toc7724"/>
      <w:r>
        <w:rPr>
          <w:rFonts w:hint="eastAsia" w:ascii="宋体" w:hAnsi="宋体" w:eastAsia="宋体" w:cs="宋体"/>
          <w:color w:val="auto"/>
          <w:sz w:val="21"/>
          <w:szCs w:val="21"/>
        </w:rPr>
        <w:t>12.投标文件编制</w:t>
      </w:r>
      <w:bookmarkEnd w:id="34"/>
    </w:p>
    <w:p>
      <w:pPr>
        <w:pStyle w:val="23"/>
        <w:widowControl w:val="0"/>
        <w:numPr>
          <w:ilvl w:val="0"/>
          <w:numId w:val="4"/>
        </w:numPr>
        <w:adjustRightInd/>
        <w:snapToGrid/>
        <w:spacing w:after="0" w:line="360" w:lineRule="exact"/>
        <w:ind w:firstLineChars="0"/>
        <w:jc w:val="both"/>
        <w:rPr>
          <w:rFonts w:hint="eastAsia" w:ascii="宋体" w:hAnsi="宋体" w:eastAsia="宋体" w:cs="宋体"/>
          <w:vanish/>
          <w:color w:val="auto"/>
          <w:sz w:val="21"/>
          <w:szCs w:val="21"/>
        </w:rPr>
      </w:pPr>
      <w:bookmarkStart w:id="35" w:name="_Toc303084258"/>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应按招标文件的规定以及附件要求的内容和格式完整地填写（表格可以按同样格式扩展）和提供资料，投标人必须对投标文件所提供的全部材料的真实性承担法律责任，并无条件接受采购人或采购代理机构对其中任何资料进行核实的要求。</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因投标文件编制存在歧义对投标人产生负面影响的，投标人自行承担后果。</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投标单位名称与投标人公章不一致，若投标单位名称已进行变更，应在投标文件中提供相应的证明材料并加盖公章，否则投标文件无效。</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投标文件密封、标记及内容与本项目采购信息不符，导致无法分辨所投项目为本项目的，投标文件无效。</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投标人须客观撰写投标人简介（格式自理，并提供相关证明）以及所投的产品或服务说明。</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投标文件若出现以下内容，经评标委员会认定有可能间接影响评审秩序，作废标处理。</w:t>
      </w:r>
    </w:p>
    <w:p>
      <w:pPr>
        <w:pStyle w:val="23"/>
        <w:widowControl w:val="0"/>
        <w:numPr>
          <w:ilvl w:val="0"/>
          <w:numId w:val="5"/>
        </w:numPr>
        <w:adjustRightInd/>
        <w:snapToGrid/>
        <w:spacing w:after="0" w:line="360" w:lineRule="exact"/>
        <w:ind w:firstLineChars="0"/>
        <w:jc w:val="both"/>
        <w:rPr>
          <w:rFonts w:hint="eastAsia" w:ascii="宋体" w:hAnsi="宋体" w:eastAsia="宋体" w:cs="宋体"/>
          <w:color w:val="auto"/>
          <w:sz w:val="21"/>
          <w:szCs w:val="21"/>
        </w:rPr>
      </w:pPr>
      <w:r>
        <w:rPr>
          <w:rFonts w:hint="eastAsia" w:ascii="宋体" w:hAnsi="宋体" w:eastAsia="宋体" w:cs="宋体"/>
          <w:color w:val="auto"/>
          <w:sz w:val="21"/>
          <w:szCs w:val="21"/>
        </w:rPr>
        <w:t>投标文件内出现无官方证明文件的行业地域排名或使用“国家级”、“最高级”、“最佳”等用语字眼的。</w:t>
      </w:r>
    </w:p>
    <w:p>
      <w:pPr>
        <w:pStyle w:val="23"/>
        <w:widowControl w:val="0"/>
        <w:numPr>
          <w:ilvl w:val="0"/>
          <w:numId w:val="5"/>
        </w:numPr>
        <w:adjustRightInd/>
        <w:snapToGrid/>
        <w:spacing w:after="0" w:line="360" w:lineRule="exact"/>
        <w:ind w:firstLineChars="0"/>
        <w:jc w:val="both"/>
        <w:rPr>
          <w:rFonts w:hint="eastAsia" w:ascii="宋体" w:hAnsi="宋体" w:eastAsia="宋体" w:cs="宋体"/>
          <w:color w:val="auto"/>
          <w:sz w:val="21"/>
          <w:szCs w:val="21"/>
        </w:rPr>
      </w:pPr>
      <w:r>
        <w:rPr>
          <w:rFonts w:hint="eastAsia" w:ascii="宋体" w:hAnsi="宋体" w:eastAsia="宋体" w:cs="宋体"/>
          <w:color w:val="auto"/>
          <w:sz w:val="21"/>
          <w:szCs w:val="21"/>
        </w:rPr>
        <w:t>投标文件内出现恶意诋毁、贬低其他生产经营者的商品或者服务的内容。</w:t>
      </w:r>
    </w:p>
    <w:bookmarkEnd w:id="35"/>
    <w:p>
      <w:pPr>
        <w:rPr>
          <w:rFonts w:hint="eastAsia" w:ascii="宋体" w:hAnsi="宋体" w:eastAsia="宋体" w:cs="宋体"/>
          <w:color w:val="auto"/>
        </w:rPr>
      </w:pPr>
    </w:p>
    <w:p>
      <w:pPr>
        <w:pStyle w:val="5"/>
        <w:widowControl w:val="0"/>
        <w:overflowPunct w:val="0"/>
        <w:spacing w:before="0" w:after="0" w:line="240" w:lineRule="auto"/>
        <w:rPr>
          <w:rFonts w:hint="eastAsia" w:ascii="宋体" w:hAnsi="宋体" w:eastAsia="宋体" w:cs="宋体"/>
          <w:color w:val="auto"/>
          <w:sz w:val="21"/>
          <w:szCs w:val="21"/>
        </w:rPr>
      </w:pPr>
      <w:bookmarkStart w:id="36" w:name="_Toc28060"/>
      <w:r>
        <w:rPr>
          <w:rFonts w:hint="eastAsia" w:ascii="宋体" w:hAnsi="宋体" w:eastAsia="宋体" w:cs="宋体"/>
          <w:color w:val="auto"/>
          <w:sz w:val="21"/>
          <w:szCs w:val="21"/>
        </w:rPr>
        <w:t>13.投标报价说明</w:t>
      </w:r>
      <w:bookmarkEnd w:id="36"/>
    </w:p>
    <w:p>
      <w:pPr>
        <w:pStyle w:val="23"/>
        <w:widowControl w:val="0"/>
        <w:numPr>
          <w:ilvl w:val="0"/>
          <w:numId w:val="4"/>
        </w:numPr>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本次招标，投标人应按用户需求中的要求进行投标报价，少报无效。</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投标人所提供的货物或服务均以人民币</w:t>
      </w:r>
      <w:r>
        <w:rPr>
          <w:rFonts w:hint="eastAsia" w:ascii="宋体" w:hAnsi="宋体" w:eastAsia="宋体" w:cs="宋体"/>
          <w:color w:val="auto"/>
          <w:sz w:val="21"/>
          <w:szCs w:val="21"/>
          <w:lang w:eastAsia="zh-CN"/>
        </w:rPr>
        <w:t>（或相关费率）</w:t>
      </w:r>
      <w:r>
        <w:rPr>
          <w:rFonts w:hint="eastAsia" w:ascii="宋体" w:hAnsi="宋体" w:eastAsia="宋体" w:cs="宋体"/>
          <w:color w:val="auto"/>
          <w:sz w:val="21"/>
          <w:szCs w:val="21"/>
        </w:rPr>
        <w:t>报价。</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投标报价应包含完成本次招标所有服务内容的费用，包含各种税务费及合同实施过程中的全部费用和售后服务费等。</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中标后开出的所有发票必须与中标人的名称一致。</w:t>
      </w:r>
    </w:p>
    <w:p>
      <w:pPr>
        <w:rPr>
          <w:rFonts w:hint="eastAsia" w:ascii="宋体" w:hAnsi="宋体" w:eastAsia="宋体" w:cs="宋体"/>
          <w:color w:val="auto"/>
        </w:rPr>
      </w:pPr>
    </w:p>
    <w:p>
      <w:pPr>
        <w:pStyle w:val="5"/>
        <w:widowControl w:val="0"/>
        <w:overflowPunct w:val="0"/>
        <w:spacing w:before="0" w:after="0" w:line="240" w:lineRule="auto"/>
        <w:rPr>
          <w:rFonts w:hint="eastAsia" w:ascii="宋体" w:hAnsi="宋体" w:eastAsia="宋体" w:cs="宋体"/>
          <w:color w:val="auto"/>
          <w:sz w:val="21"/>
          <w:szCs w:val="21"/>
        </w:rPr>
      </w:pPr>
      <w:bookmarkStart w:id="37" w:name="_Toc10722"/>
      <w:r>
        <w:rPr>
          <w:rFonts w:hint="eastAsia" w:ascii="宋体" w:hAnsi="宋体" w:eastAsia="宋体" w:cs="宋体"/>
          <w:color w:val="auto"/>
          <w:sz w:val="21"/>
          <w:szCs w:val="21"/>
        </w:rPr>
        <w:t>14.投标人所提供的服务或货物的证明文件</w:t>
      </w:r>
      <w:bookmarkEnd w:id="37"/>
    </w:p>
    <w:p>
      <w:pPr>
        <w:pStyle w:val="23"/>
        <w:widowControl w:val="0"/>
        <w:numPr>
          <w:ilvl w:val="0"/>
          <w:numId w:val="4"/>
        </w:numPr>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bookmarkStart w:id="38" w:name="_Hlt107925638"/>
      <w:bookmarkEnd w:id="38"/>
      <w:bookmarkStart w:id="39" w:name="_Hlt107925668"/>
      <w:bookmarkEnd w:id="39"/>
      <w:r>
        <w:rPr>
          <w:rFonts w:hint="eastAsia" w:ascii="宋体" w:hAnsi="宋体" w:eastAsia="宋体" w:cs="宋体"/>
          <w:color w:val="auto"/>
          <w:sz w:val="21"/>
          <w:szCs w:val="21"/>
        </w:rPr>
        <w:t>证明服务或货物的文件，它可以是文字资料、图纸和数据包括但不限于：服务主要内容、标准、质量、人员资质、计划安排、报告审核等的详细说明；对招标文件第</w:t>
      </w:r>
      <w:r>
        <w:rPr>
          <w:rFonts w:hint="eastAsia" w:ascii="宋体" w:hAnsi="宋体" w:eastAsia="宋体" w:cs="宋体"/>
          <w:color w:val="auto"/>
          <w:sz w:val="21"/>
          <w:szCs w:val="21"/>
          <w:lang w:eastAsia="zh-CN"/>
        </w:rPr>
        <w:t>三</w:t>
      </w:r>
      <w:r>
        <w:rPr>
          <w:rFonts w:hint="eastAsia" w:ascii="宋体" w:hAnsi="宋体" w:eastAsia="宋体" w:cs="宋体"/>
          <w:color w:val="auto"/>
          <w:sz w:val="21"/>
          <w:szCs w:val="21"/>
        </w:rPr>
        <w:t>部分《用户需求书》中规定的要求进行详细应答和说明。</w:t>
      </w:r>
    </w:p>
    <w:p>
      <w:pPr>
        <w:pStyle w:val="23"/>
        <w:widowControl w:val="0"/>
        <w:adjustRightInd/>
        <w:snapToGrid/>
        <w:spacing w:after="0" w:line="360" w:lineRule="exact"/>
        <w:ind w:left="425" w:firstLine="0" w:firstLineChars="0"/>
        <w:jc w:val="both"/>
        <w:rPr>
          <w:rFonts w:hint="eastAsia" w:ascii="宋体" w:hAnsi="宋体" w:eastAsia="宋体" w:cs="宋体"/>
          <w:color w:val="auto"/>
        </w:rPr>
      </w:pPr>
    </w:p>
    <w:p>
      <w:pPr>
        <w:pStyle w:val="5"/>
        <w:widowControl w:val="0"/>
        <w:overflowPunct w:val="0"/>
        <w:spacing w:before="0" w:after="0" w:line="240" w:lineRule="auto"/>
        <w:rPr>
          <w:rFonts w:hint="eastAsia" w:ascii="宋体" w:hAnsi="宋体" w:eastAsia="宋体" w:cs="宋体"/>
          <w:color w:val="auto"/>
          <w:sz w:val="21"/>
          <w:szCs w:val="21"/>
        </w:rPr>
      </w:pPr>
      <w:bookmarkStart w:id="40" w:name="_Toc28478"/>
      <w:r>
        <w:rPr>
          <w:rFonts w:hint="eastAsia" w:ascii="宋体" w:hAnsi="宋体" w:eastAsia="宋体" w:cs="宋体"/>
          <w:color w:val="auto"/>
          <w:sz w:val="21"/>
          <w:szCs w:val="21"/>
        </w:rPr>
        <w:t>15.★投标有效期</w:t>
      </w:r>
      <w:bookmarkEnd w:id="40"/>
    </w:p>
    <w:p>
      <w:pPr>
        <w:pStyle w:val="23"/>
        <w:widowControl w:val="0"/>
        <w:numPr>
          <w:ilvl w:val="0"/>
          <w:numId w:val="4"/>
        </w:numPr>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投标文件应根据投标人须知的规定在投标截止日后的90天内保持有效。</w:t>
      </w:r>
    </w:p>
    <w:p>
      <w:pPr>
        <w:widowControl w:val="0"/>
        <w:adjustRightInd/>
        <w:snapToGrid/>
        <w:spacing w:after="0" w:line="360" w:lineRule="exact"/>
        <w:ind w:left="567"/>
        <w:jc w:val="both"/>
        <w:rPr>
          <w:rFonts w:hint="eastAsia" w:ascii="宋体" w:hAnsi="宋体" w:eastAsia="宋体" w:cs="宋体"/>
          <w:color w:val="auto"/>
        </w:rPr>
      </w:pPr>
    </w:p>
    <w:p>
      <w:pPr>
        <w:pStyle w:val="5"/>
        <w:widowControl w:val="0"/>
        <w:overflowPunct w:val="0"/>
        <w:spacing w:before="0" w:after="0" w:line="240" w:lineRule="auto"/>
        <w:rPr>
          <w:rFonts w:hint="eastAsia" w:ascii="宋体" w:hAnsi="宋体" w:eastAsia="宋体" w:cs="宋体"/>
          <w:color w:val="auto"/>
          <w:sz w:val="21"/>
          <w:szCs w:val="21"/>
        </w:rPr>
      </w:pPr>
      <w:bookmarkStart w:id="41" w:name="_Toc718"/>
      <w:r>
        <w:rPr>
          <w:rFonts w:hint="eastAsia" w:ascii="宋体" w:hAnsi="宋体" w:eastAsia="宋体" w:cs="宋体"/>
          <w:color w:val="auto"/>
          <w:sz w:val="21"/>
          <w:szCs w:val="21"/>
        </w:rPr>
        <w:t>16.★投标保证金</w:t>
      </w:r>
      <w:bookmarkEnd w:id="41"/>
    </w:p>
    <w:p>
      <w:pPr>
        <w:pStyle w:val="23"/>
        <w:widowControl w:val="0"/>
        <w:numPr>
          <w:ilvl w:val="0"/>
          <w:numId w:val="4"/>
        </w:numPr>
        <w:adjustRightInd/>
        <w:snapToGrid/>
        <w:spacing w:after="0" w:line="360" w:lineRule="exact"/>
        <w:ind w:firstLineChars="0"/>
        <w:jc w:val="both"/>
        <w:rPr>
          <w:rFonts w:hint="eastAsia" w:ascii="宋体" w:hAnsi="宋体" w:eastAsia="宋体" w:cs="宋体"/>
          <w:vanish/>
          <w:color w:val="auto"/>
          <w:sz w:val="21"/>
          <w:szCs w:val="21"/>
        </w:rPr>
      </w:pPr>
      <w:bookmarkStart w:id="42" w:name="_Ref179619405"/>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投标人应按投标资料表中规定数额及法律规定的时间按相应包号保证金金额要求一次性提交投标保证金，以多次汇入达到招标文件要求金额的投标保证金无效。</w:t>
      </w:r>
      <w:bookmarkEnd w:id="42"/>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投标保证金金额与招标文件要求金额保持一致（详见投标资料表）。</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投标保证金有效期与投标有效期保持一致。</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投标人应按要求提交投标保证金，投标人必须采用银行转账、电汇或担保函形式一次性缴交招标文件规定数额的投标保证金，投标人与交款人名称必须一致，非投标人缴纳的投标保证金无效。</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采用银行转账、电汇方式提交的,付至采购代理机构指定账户上。 (详见投标人资料表)</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担保。是指由担保机构为供应商交纳投标保证金向采购人或者采购代理机构提供的保证担保。供应商在投标有效期内撤回投标文件或中标后不签订采购合同的，由担保机构按照担保函的约定履行支付投标保证金的责任。</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采用担保函提交的，应符合下列规定：</w:t>
      </w:r>
    </w:p>
    <w:p>
      <w:pPr>
        <w:spacing w:after="0"/>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①投标担保函有效期应与投标有效期一致；</w:t>
      </w:r>
    </w:p>
    <w:p>
      <w:pPr>
        <w:spacing w:after="0"/>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②投标担保金额应与本项目的投标保证金一致；</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保证金不接受现金方式（包括以存现方式）提交，未按要求提交投标保证金的将导致废标。</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未中标的投标人的保证金应当在中标通知书发出后5个工作日内退还，中标投标人的保证金应当在采购合同签订后5个工作日内退还。</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为方便退还未中标的投保人的保证金，投标人应制作《投标保证金汇入情况说明》随开标文件一并递交。</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有下列情形之一的，投标保证金将不予退还：</w:t>
      </w:r>
    </w:p>
    <w:p>
      <w:pPr>
        <w:widowControl w:val="0"/>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（1）投标人在提交响应文件截止时间后撤回响应文件的；</w:t>
      </w:r>
    </w:p>
    <w:p>
      <w:pPr>
        <w:widowControl w:val="0"/>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（2）投标人在响应文件中提供虚假材料的；</w:t>
      </w:r>
    </w:p>
    <w:p>
      <w:pPr>
        <w:widowControl w:val="0"/>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（3）除因不可抗力或谈判文件、询价通知书认可的情形以外，中标单位不与采购人签订合同的；</w:t>
      </w:r>
    </w:p>
    <w:p>
      <w:pPr>
        <w:widowControl w:val="0"/>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（4）投标人与采购人、其他供应商或者采购代理机构恶意串通的；</w:t>
      </w:r>
    </w:p>
    <w:p>
      <w:pPr>
        <w:widowControl w:val="0"/>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（5）</w:t>
      </w:r>
      <w:r>
        <w:rPr>
          <w:rFonts w:hint="eastAsia" w:ascii="宋体" w:hAnsi="宋体" w:eastAsia="宋体" w:cs="宋体"/>
          <w:color w:val="auto"/>
          <w:sz w:val="21"/>
          <w:szCs w:val="21"/>
          <w:lang w:eastAsia="zh-CN"/>
        </w:rPr>
        <w:t>招标文件</w:t>
      </w:r>
      <w:r>
        <w:rPr>
          <w:rFonts w:hint="eastAsia" w:ascii="宋体" w:hAnsi="宋体" w:eastAsia="宋体" w:cs="宋体"/>
          <w:color w:val="auto"/>
          <w:sz w:val="21"/>
          <w:szCs w:val="21"/>
        </w:rPr>
        <w:t xml:space="preserve">规定的其他情形。 </w:t>
      </w:r>
    </w:p>
    <w:p>
      <w:pPr>
        <w:rPr>
          <w:rFonts w:hint="eastAsia" w:ascii="宋体" w:hAnsi="宋体" w:eastAsia="宋体" w:cs="宋体"/>
          <w:color w:val="auto"/>
        </w:rPr>
      </w:pPr>
    </w:p>
    <w:p>
      <w:pPr>
        <w:pStyle w:val="4"/>
        <w:numPr>
          <w:ilvl w:val="0"/>
          <w:numId w:val="3"/>
        </w:numPr>
        <w:spacing w:before="0" w:after="0" w:line="480" w:lineRule="auto"/>
        <w:jc w:val="center"/>
        <w:rPr>
          <w:rFonts w:hint="eastAsia" w:ascii="宋体" w:hAnsi="宋体" w:eastAsia="宋体" w:cs="宋体"/>
          <w:color w:val="auto"/>
        </w:rPr>
      </w:pPr>
      <w:bookmarkStart w:id="43" w:name="_Toc26276"/>
      <w:r>
        <w:rPr>
          <w:rFonts w:hint="eastAsia" w:ascii="宋体" w:hAnsi="宋体" w:eastAsia="宋体" w:cs="宋体"/>
          <w:color w:val="auto"/>
        </w:rPr>
        <w:t>投标文件的递交</w:t>
      </w:r>
      <w:bookmarkEnd w:id="43"/>
    </w:p>
    <w:p>
      <w:pPr>
        <w:pStyle w:val="5"/>
        <w:widowControl w:val="0"/>
        <w:overflowPunct w:val="0"/>
        <w:spacing w:before="0" w:after="0" w:line="240" w:lineRule="auto"/>
        <w:rPr>
          <w:rFonts w:hint="eastAsia" w:ascii="宋体" w:hAnsi="宋体" w:eastAsia="宋体" w:cs="宋体"/>
          <w:color w:val="auto"/>
          <w:sz w:val="21"/>
          <w:szCs w:val="21"/>
        </w:rPr>
      </w:pPr>
      <w:bookmarkStart w:id="44" w:name="_Toc24997"/>
      <w:bookmarkStart w:id="45" w:name="_Toc382049111"/>
      <w:bookmarkStart w:id="46" w:name="_Toc17218"/>
      <w:bookmarkStart w:id="47" w:name="_Toc303084264"/>
      <w:r>
        <w:rPr>
          <w:rFonts w:hint="eastAsia" w:ascii="宋体" w:hAnsi="宋体" w:eastAsia="宋体" w:cs="宋体"/>
          <w:color w:val="auto"/>
          <w:sz w:val="21"/>
          <w:szCs w:val="21"/>
        </w:rPr>
        <w:t>17.投标文件的装订，签署，密封和标记</w:t>
      </w:r>
      <w:bookmarkEnd w:id="44"/>
      <w:bookmarkEnd w:id="45"/>
      <w:bookmarkEnd w:id="46"/>
      <w:bookmarkEnd w:id="47"/>
    </w:p>
    <w:p>
      <w:pPr>
        <w:pStyle w:val="23"/>
        <w:widowControl w:val="0"/>
        <w:numPr>
          <w:ilvl w:val="0"/>
          <w:numId w:val="4"/>
        </w:numPr>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投标人应当对投标文件进行装订，对未经装订的投标文件可能发生的文件缺</w:t>
      </w:r>
      <w:r>
        <w:rPr>
          <w:rFonts w:hint="eastAsia" w:ascii="宋体" w:hAnsi="宋体" w:eastAsia="宋体" w:cs="宋体"/>
          <w:color w:val="auto"/>
          <w:sz w:val="21"/>
          <w:szCs w:val="21"/>
          <w:lang w:eastAsia="zh-CN"/>
        </w:rPr>
        <w:t>损</w:t>
      </w:r>
      <w:r>
        <w:rPr>
          <w:rFonts w:hint="eastAsia" w:ascii="宋体" w:hAnsi="宋体" w:eastAsia="宋体" w:cs="宋体"/>
          <w:color w:val="auto"/>
          <w:sz w:val="21"/>
          <w:szCs w:val="21"/>
        </w:rPr>
        <w:t>，由此产生的后果由投标人承担</w:t>
      </w:r>
      <w:r>
        <w:rPr>
          <w:rFonts w:hint="eastAsia" w:ascii="宋体" w:hAnsi="宋体" w:eastAsia="宋体" w:cs="宋体"/>
          <w:color w:val="auto"/>
          <w:sz w:val="21"/>
          <w:szCs w:val="21"/>
          <w:lang w:eastAsia="zh-CN"/>
        </w:rPr>
        <w:t>；投标文件未装订成册，投标文件无效</w:t>
      </w:r>
      <w:r>
        <w:rPr>
          <w:rFonts w:hint="eastAsia" w:ascii="宋体" w:hAnsi="宋体" w:eastAsia="宋体" w:cs="宋体"/>
          <w:color w:val="auto"/>
          <w:sz w:val="21"/>
          <w:szCs w:val="21"/>
        </w:rPr>
        <w:t>。</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文件正本均须用不褪色墨水书写或打印。投标文件的副本可采用投标文件的正本复印件，每套投标文件应当标明“正本”、“副本”的字样。投标文件的【正本】及所有【副本】的封面及骑缝均须加盖投标人公章（文件每页盖章等同于盖骑缝章）。若正本与副本不符，以正本为准。</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联合体投标文件的【正本】及【副本】的封面及骑缝均须加盖所有联合体组成成员的公章。（文件每页盖章等同于盖骑缝章）</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电子文件内容包括：由投标人自行制作的与正本文件一致的所有文件。电子文件由光盘或U盘储存，并注明投标人名称及项目名称、</w:t>
      </w:r>
      <w:r>
        <w:rPr>
          <w:rFonts w:hint="eastAsia" w:ascii="宋体" w:hAnsi="宋体" w:eastAsia="宋体" w:cs="宋体"/>
          <w:color w:val="auto"/>
          <w:sz w:val="21"/>
          <w:szCs w:val="21"/>
          <w:lang w:eastAsia="zh-CN"/>
        </w:rPr>
        <w:t>采购项目编号</w:t>
      </w:r>
      <w:r>
        <w:rPr>
          <w:rFonts w:hint="eastAsia" w:ascii="宋体" w:hAnsi="宋体" w:eastAsia="宋体" w:cs="宋体"/>
          <w:color w:val="auto"/>
          <w:sz w:val="21"/>
          <w:szCs w:val="21"/>
        </w:rPr>
        <w:t>，随投标文件一同密封提交。</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除投标人对错误处修改外，全套投标文件应无涂改或行间插字和增删。如有修改，修改处须由法定代表人或其正式授权代表在旁边签字</w:t>
      </w:r>
      <w:r>
        <w:rPr>
          <w:rFonts w:hint="eastAsia" w:ascii="宋体" w:hAnsi="宋体" w:eastAsia="宋体" w:cs="宋体"/>
          <w:color w:val="auto"/>
          <w:sz w:val="21"/>
          <w:szCs w:val="21"/>
          <w:lang w:eastAsia="zh-CN"/>
        </w:rPr>
        <w:t>及</w:t>
      </w:r>
      <w:r>
        <w:rPr>
          <w:rFonts w:hint="eastAsia" w:ascii="宋体" w:hAnsi="宋体" w:eastAsia="宋体" w:cs="宋体"/>
          <w:color w:val="auto"/>
          <w:sz w:val="21"/>
          <w:szCs w:val="21"/>
        </w:rPr>
        <w:t>盖章。</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投标人应将投标文件进行非透明的封装，以防止投标文件内容的泄露。采购代理机构将拒绝接收采用透明包装进行密封的投标文件。</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密封破损导致投标文件内容直接或间接泄露的投标文件，采购代理机构将拒绝接收。</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为方便开标唱标，投标人应将开标一览表和授权委托书单独密封提交，并在信封上标明“开标文件”字样。开标文件内还须包括并不限于：投标保证金支付凭证银行汇款底单（复印件加盖公章，原件随身携带，以备查核）和投标保证金汇入情况说明（加盖公章）。投标人的法定代表人参加投标时，须开具法定代表人证明书，按上述要求与开标一览表一并密封提交。“开标文件”份数及签章等要求与投标文件正本相同（1份）。</w:t>
      </w:r>
    </w:p>
    <w:p>
      <w:pPr>
        <w:widowControl w:val="0"/>
        <w:numPr>
          <w:ilvl w:val="1"/>
          <w:numId w:val="4"/>
        </w:numPr>
        <w:adjustRightInd/>
        <w:snapToGrid/>
        <w:spacing w:after="0" w:line="360" w:lineRule="exact"/>
        <w:jc w:val="both"/>
        <w:rPr>
          <w:rFonts w:hint="eastAsia" w:ascii="宋体" w:hAnsi="宋体" w:eastAsia="宋体" w:cs="宋体"/>
          <w:b/>
          <w:bCs/>
          <w:color w:val="auto"/>
          <w:sz w:val="21"/>
          <w:szCs w:val="21"/>
        </w:rPr>
      </w:pPr>
      <w:r>
        <w:rPr>
          <w:rFonts w:hint="eastAsia" w:ascii="宋体" w:hAnsi="宋体" w:eastAsia="宋体" w:cs="宋体"/>
          <w:b/>
          <w:bCs/>
          <w:color w:val="auto"/>
          <w:sz w:val="21"/>
          <w:szCs w:val="21"/>
        </w:rPr>
        <w:t>未单独提交开标文件的投标人投标文件不进行唱标</w:t>
      </w:r>
      <w:r>
        <w:rPr>
          <w:rFonts w:hint="eastAsia" w:ascii="宋体" w:hAnsi="宋体" w:eastAsia="宋体" w:cs="宋体"/>
          <w:b/>
          <w:bCs/>
          <w:color w:val="auto"/>
          <w:sz w:val="21"/>
          <w:szCs w:val="21"/>
          <w:lang w:eastAsia="zh-CN"/>
        </w:rPr>
        <w:t>，投标文件作无效处理</w:t>
      </w:r>
      <w:r>
        <w:rPr>
          <w:rFonts w:hint="eastAsia" w:ascii="宋体" w:hAnsi="宋体" w:eastAsia="宋体" w:cs="宋体"/>
          <w:b/>
          <w:bCs/>
          <w:color w:val="auto"/>
          <w:sz w:val="21"/>
          <w:szCs w:val="21"/>
        </w:rPr>
        <w:t>。</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 xml:space="preserve">所有的信封均应注明： </w:t>
      </w:r>
    </w:p>
    <w:p>
      <w:pPr>
        <w:widowControl w:val="0"/>
        <w:numPr>
          <w:ilvl w:val="0"/>
          <w:numId w:val="6"/>
        </w:numPr>
        <w:adjustRightInd/>
        <w:snapToGrid/>
        <w:spacing w:after="0" w:line="360" w:lineRule="exact"/>
        <w:ind w:left="567"/>
        <w:jc w:val="both"/>
        <w:rPr>
          <w:rFonts w:hint="eastAsia" w:ascii="宋体" w:hAnsi="宋体" w:eastAsia="宋体" w:cs="宋体"/>
          <w:color w:val="auto"/>
          <w:sz w:val="21"/>
          <w:szCs w:val="21"/>
        </w:rPr>
      </w:pPr>
      <w:r>
        <w:rPr>
          <w:rFonts w:hint="eastAsia" w:ascii="宋体" w:hAnsi="宋体" w:eastAsia="宋体" w:cs="宋体"/>
          <w:color w:val="auto"/>
          <w:sz w:val="21"/>
          <w:szCs w:val="21"/>
        </w:rPr>
        <w:t>收件人：</w:t>
      </w:r>
      <w:r>
        <w:rPr>
          <w:rFonts w:hint="eastAsia" w:ascii="宋体" w:hAnsi="宋体" w:eastAsia="宋体" w:cs="宋体"/>
          <w:color w:val="auto"/>
          <w:sz w:val="21"/>
          <w:szCs w:val="21"/>
          <w:lang w:eastAsia="zh-CN"/>
        </w:rPr>
        <w:t>三方诚信招标有限公司</w:t>
      </w:r>
      <w:r>
        <w:rPr>
          <w:rFonts w:hint="eastAsia" w:ascii="宋体" w:hAnsi="宋体" w:eastAsia="宋体" w:cs="宋体"/>
          <w:color w:val="auto"/>
          <w:sz w:val="21"/>
          <w:szCs w:val="21"/>
        </w:rPr>
        <w:t>东莞分公司</w:t>
      </w:r>
    </w:p>
    <w:p>
      <w:pPr>
        <w:widowControl w:val="0"/>
        <w:numPr>
          <w:ilvl w:val="0"/>
          <w:numId w:val="6"/>
        </w:numPr>
        <w:adjustRightInd/>
        <w:snapToGrid/>
        <w:spacing w:after="0" w:line="360" w:lineRule="exact"/>
        <w:ind w:left="567"/>
        <w:jc w:val="both"/>
        <w:rPr>
          <w:rFonts w:hint="eastAsia" w:ascii="宋体" w:hAnsi="宋体" w:eastAsia="宋体" w:cs="宋体"/>
          <w:color w:val="auto"/>
          <w:sz w:val="21"/>
          <w:szCs w:val="21"/>
        </w:rPr>
      </w:pPr>
      <w:r>
        <w:rPr>
          <w:rFonts w:hint="eastAsia" w:ascii="宋体" w:hAnsi="宋体" w:eastAsia="宋体" w:cs="宋体"/>
          <w:color w:val="auto"/>
          <w:sz w:val="21"/>
          <w:szCs w:val="21"/>
        </w:rPr>
        <w:t>投标单位名称：</w:t>
      </w:r>
    </w:p>
    <w:p>
      <w:pPr>
        <w:widowControl w:val="0"/>
        <w:numPr>
          <w:ilvl w:val="0"/>
          <w:numId w:val="6"/>
        </w:numPr>
        <w:adjustRightInd/>
        <w:snapToGrid/>
        <w:spacing w:after="0" w:line="360" w:lineRule="exact"/>
        <w:ind w:left="567"/>
        <w:jc w:val="both"/>
        <w:rPr>
          <w:rFonts w:hint="eastAsia" w:ascii="宋体" w:hAnsi="宋体" w:eastAsia="宋体" w:cs="宋体"/>
          <w:color w:val="auto"/>
          <w:sz w:val="21"/>
          <w:szCs w:val="21"/>
        </w:rPr>
      </w:pPr>
      <w:r>
        <w:rPr>
          <w:rFonts w:hint="eastAsia" w:ascii="宋体" w:hAnsi="宋体" w:eastAsia="宋体" w:cs="宋体"/>
          <w:color w:val="auto"/>
          <w:sz w:val="21"/>
          <w:szCs w:val="21"/>
        </w:rPr>
        <w:t>项目名称：</w:t>
      </w:r>
    </w:p>
    <w:p>
      <w:pPr>
        <w:widowControl w:val="0"/>
        <w:numPr>
          <w:ilvl w:val="0"/>
          <w:numId w:val="6"/>
        </w:numPr>
        <w:adjustRightInd/>
        <w:snapToGrid/>
        <w:spacing w:after="0" w:line="360" w:lineRule="exact"/>
        <w:ind w:left="567"/>
        <w:jc w:val="both"/>
        <w:rPr>
          <w:rFonts w:hint="eastAsia" w:ascii="宋体" w:hAnsi="宋体" w:eastAsia="宋体" w:cs="宋体"/>
          <w:color w:val="auto"/>
          <w:sz w:val="21"/>
          <w:szCs w:val="21"/>
        </w:rPr>
      </w:pPr>
      <w:r>
        <w:rPr>
          <w:rFonts w:hint="eastAsia" w:ascii="宋体" w:hAnsi="宋体" w:eastAsia="宋体" w:cs="宋体"/>
          <w:color w:val="auto"/>
          <w:sz w:val="21"/>
          <w:szCs w:val="21"/>
        </w:rPr>
        <w:t>项目</w:t>
      </w:r>
      <w:r>
        <w:rPr>
          <w:rFonts w:hint="eastAsia" w:ascii="宋体" w:hAnsi="宋体" w:eastAsia="宋体" w:cs="宋体"/>
          <w:color w:val="auto"/>
          <w:sz w:val="21"/>
          <w:szCs w:val="21"/>
          <w:lang w:eastAsia="zh-CN"/>
        </w:rPr>
        <w:t>采购项目编号</w:t>
      </w:r>
      <w:r>
        <w:rPr>
          <w:rFonts w:hint="eastAsia" w:ascii="宋体" w:hAnsi="宋体" w:eastAsia="宋体" w:cs="宋体"/>
          <w:color w:val="auto"/>
          <w:sz w:val="21"/>
          <w:szCs w:val="21"/>
        </w:rPr>
        <w:t>：</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未进行项目报名的单位（以采购代理机构报名表</w:t>
      </w:r>
      <w:r>
        <w:rPr>
          <w:rFonts w:hint="eastAsia" w:ascii="宋体" w:hAnsi="宋体" w:eastAsia="宋体" w:cs="宋体"/>
          <w:color w:val="auto"/>
          <w:sz w:val="21"/>
          <w:szCs w:val="21"/>
          <w:lang w:eastAsia="zh-CN"/>
        </w:rPr>
        <w:t>或报名发票</w:t>
      </w:r>
      <w:r>
        <w:rPr>
          <w:rFonts w:hint="eastAsia" w:ascii="宋体" w:hAnsi="宋体" w:eastAsia="宋体" w:cs="宋体"/>
          <w:color w:val="auto"/>
          <w:sz w:val="21"/>
          <w:szCs w:val="21"/>
        </w:rPr>
        <w:t>为准）递交的投标文件，采购代理机构将拒绝接收。</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密封信封上的项目编号错误或项目名称出现严重歧义的（包括采购内容不符），采购代理机构将拒绝接收。</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采购代理机构对所有投标文件的误投或提前启封概不负责。</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投标人同时参加几个包投标时必须按招标文件要求按包号分别制作投标文件，分别密封递交。</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传真</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电传的投标文件将被拒绝。</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递交的投标文件中所提供的通讯方式应保持联络畅通，因联系不上而导致的所有后果由投标人自行承担。</w:t>
      </w:r>
    </w:p>
    <w:p>
      <w:pPr>
        <w:rPr>
          <w:rFonts w:hint="eastAsia" w:ascii="宋体" w:hAnsi="宋体" w:eastAsia="宋体" w:cs="宋体"/>
          <w:color w:val="auto"/>
        </w:rPr>
      </w:pPr>
    </w:p>
    <w:p>
      <w:pPr>
        <w:pStyle w:val="5"/>
        <w:widowControl w:val="0"/>
        <w:overflowPunct w:val="0"/>
        <w:spacing w:before="0" w:after="0" w:line="240" w:lineRule="auto"/>
        <w:rPr>
          <w:rFonts w:hint="eastAsia" w:ascii="宋体" w:hAnsi="宋体" w:eastAsia="宋体" w:cs="宋体"/>
          <w:color w:val="auto"/>
          <w:sz w:val="21"/>
          <w:szCs w:val="21"/>
        </w:rPr>
      </w:pPr>
      <w:bookmarkStart w:id="48" w:name="_Toc10743"/>
      <w:r>
        <w:rPr>
          <w:rFonts w:hint="eastAsia" w:ascii="宋体" w:hAnsi="宋体" w:eastAsia="宋体" w:cs="宋体"/>
          <w:color w:val="auto"/>
          <w:sz w:val="21"/>
          <w:szCs w:val="21"/>
        </w:rPr>
        <w:t>18.迟交的投标文件</w:t>
      </w:r>
      <w:bookmarkEnd w:id="48"/>
    </w:p>
    <w:p>
      <w:pPr>
        <w:pStyle w:val="23"/>
        <w:widowControl w:val="0"/>
        <w:numPr>
          <w:ilvl w:val="0"/>
          <w:numId w:val="4"/>
        </w:numPr>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投标人在投标截止时间之后提交的投标文件，采购代理机构将拒绝接收。</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有违反其他法律规定情形的，采购代理机构将拒绝接收。</w:t>
      </w:r>
    </w:p>
    <w:p>
      <w:pPr>
        <w:rPr>
          <w:rFonts w:hint="eastAsia" w:ascii="宋体" w:hAnsi="宋体" w:eastAsia="宋体" w:cs="宋体"/>
          <w:color w:val="auto"/>
        </w:rPr>
      </w:pPr>
    </w:p>
    <w:p>
      <w:pPr>
        <w:pStyle w:val="5"/>
        <w:widowControl w:val="0"/>
        <w:overflowPunct w:val="0"/>
        <w:spacing w:before="0" w:after="0" w:line="240" w:lineRule="auto"/>
        <w:rPr>
          <w:rFonts w:hint="eastAsia" w:ascii="宋体" w:hAnsi="宋体" w:eastAsia="宋体" w:cs="宋体"/>
          <w:color w:val="auto"/>
          <w:sz w:val="21"/>
          <w:szCs w:val="21"/>
        </w:rPr>
      </w:pPr>
      <w:bookmarkStart w:id="49" w:name="_Toc348"/>
      <w:r>
        <w:rPr>
          <w:rFonts w:hint="eastAsia" w:ascii="宋体" w:hAnsi="宋体" w:eastAsia="宋体" w:cs="宋体"/>
          <w:color w:val="auto"/>
          <w:sz w:val="21"/>
          <w:szCs w:val="21"/>
        </w:rPr>
        <w:t>19.投标样品（如需提交）</w:t>
      </w:r>
      <w:bookmarkEnd w:id="49"/>
    </w:p>
    <w:p>
      <w:pPr>
        <w:pStyle w:val="23"/>
        <w:widowControl w:val="0"/>
        <w:numPr>
          <w:ilvl w:val="0"/>
          <w:numId w:val="4"/>
        </w:numPr>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如有必要，采购代理机构可以要求投标人提供本服务项目涉及的部分设备或产品样品，投标人在投标时应提交《样品清单》。</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为方便评标，投标人在提供样品时，</w:t>
      </w:r>
      <w:r>
        <w:rPr>
          <w:rFonts w:hint="eastAsia" w:ascii="宋体" w:hAnsi="宋体" w:eastAsia="宋体" w:cs="宋体"/>
          <w:color w:val="auto"/>
          <w:sz w:val="21"/>
          <w:szCs w:val="21"/>
          <w:lang w:eastAsia="zh-CN"/>
        </w:rPr>
        <w:t>应</w:t>
      </w:r>
      <w:r>
        <w:rPr>
          <w:rFonts w:hint="eastAsia" w:ascii="宋体" w:hAnsi="宋体" w:eastAsia="宋体" w:cs="宋体"/>
          <w:color w:val="auto"/>
          <w:sz w:val="21"/>
          <w:szCs w:val="21"/>
        </w:rPr>
        <w:t>在所提供的样品表面显著位置标注投标人的名称、包号、样品名称、招标文件规定的服务或货物编号。</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样品作为投标文件的一部分，除非另有说明，中标单位的样品将作为履约验收标准的参考不再退还，未中标单位须在中标公告发布后五个工作日内，前往采购代理机构领取投标样品，逾期不领，采购代理机构将不承担样品的保管责任，由此引发的样品丢失、毁损，采购代理机构不予负责。</w:t>
      </w:r>
    </w:p>
    <w:p>
      <w:pPr>
        <w:rPr>
          <w:rFonts w:hint="eastAsia" w:ascii="宋体" w:hAnsi="宋体" w:eastAsia="宋体" w:cs="宋体"/>
          <w:color w:val="auto"/>
        </w:rPr>
      </w:pPr>
    </w:p>
    <w:p>
      <w:pPr>
        <w:pStyle w:val="5"/>
        <w:widowControl w:val="0"/>
        <w:overflowPunct w:val="0"/>
        <w:spacing w:before="0" w:after="0" w:line="240" w:lineRule="auto"/>
        <w:rPr>
          <w:rFonts w:hint="eastAsia" w:ascii="宋体" w:hAnsi="宋体" w:eastAsia="宋体" w:cs="宋体"/>
          <w:color w:val="auto"/>
          <w:sz w:val="21"/>
          <w:szCs w:val="21"/>
        </w:rPr>
      </w:pPr>
      <w:bookmarkStart w:id="50" w:name="_Toc303084265"/>
      <w:bookmarkStart w:id="51" w:name="_Toc9777"/>
      <w:bookmarkStart w:id="52" w:name="_Toc5391"/>
      <w:bookmarkStart w:id="53" w:name="_Toc382049112"/>
      <w:r>
        <w:rPr>
          <w:rFonts w:hint="eastAsia" w:ascii="宋体" w:hAnsi="宋体" w:eastAsia="宋体" w:cs="宋体"/>
          <w:color w:val="auto"/>
          <w:sz w:val="21"/>
          <w:szCs w:val="21"/>
        </w:rPr>
        <w:t>20.投标截止期</w:t>
      </w:r>
      <w:bookmarkEnd w:id="50"/>
      <w:bookmarkEnd w:id="51"/>
      <w:bookmarkEnd w:id="52"/>
      <w:bookmarkEnd w:id="53"/>
    </w:p>
    <w:p>
      <w:pPr>
        <w:pStyle w:val="23"/>
        <w:widowControl w:val="0"/>
        <w:numPr>
          <w:ilvl w:val="0"/>
          <w:numId w:val="4"/>
        </w:numPr>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投标人应在招标文件规定的截止日期和时间</w:t>
      </w:r>
      <w:r>
        <w:rPr>
          <w:rFonts w:hint="eastAsia" w:ascii="宋体" w:hAnsi="宋体" w:eastAsia="宋体" w:cs="宋体"/>
          <w:color w:val="auto"/>
          <w:sz w:val="21"/>
          <w:szCs w:val="21"/>
          <w:lang w:eastAsia="zh-CN"/>
        </w:rPr>
        <w:t>内</w:t>
      </w:r>
      <w:r>
        <w:rPr>
          <w:rFonts w:hint="eastAsia" w:ascii="宋体" w:hAnsi="宋体" w:eastAsia="宋体" w:cs="宋体"/>
          <w:color w:val="auto"/>
          <w:sz w:val="21"/>
          <w:szCs w:val="21"/>
        </w:rPr>
        <w:t>，将投标文件送达到指定地点。</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采购代理机构可按本须知规定以澄清或修改通知的方式，酌情延长递交投标文件的截止时间。在此情况下，投标人的所有权利和义务以及投标人受制约的截止时间，均以延长后新的投标截止时间为准。</w:t>
      </w:r>
    </w:p>
    <w:p>
      <w:pPr>
        <w:rPr>
          <w:rFonts w:hint="eastAsia" w:ascii="宋体" w:hAnsi="宋体" w:eastAsia="宋体" w:cs="宋体"/>
          <w:color w:val="auto"/>
        </w:rPr>
      </w:pPr>
    </w:p>
    <w:p>
      <w:pPr>
        <w:pStyle w:val="5"/>
        <w:widowControl w:val="0"/>
        <w:overflowPunct w:val="0"/>
        <w:spacing w:before="0" w:after="0" w:line="240" w:lineRule="auto"/>
        <w:rPr>
          <w:rFonts w:hint="eastAsia" w:ascii="宋体" w:hAnsi="宋体" w:eastAsia="宋体" w:cs="宋体"/>
          <w:color w:val="auto"/>
          <w:sz w:val="21"/>
          <w:szCs w:val="21"/>
        </w:rPr>
      </w:pPr>
      <w:bookmarkStart w:id="54" w:name="_Toc5886"/>
      <w:r>
        <w:rPr>
          <w:rFonts w:hint="eastAsia" w:ascii="宋体" w:hAnsi="宋体" w:eastAsia="宋体" w:cs="宋体"/>
          <w:color w:val="auto"/>
          <w:sz w:val="21"/>
          <w:szCs w:val="21"/>
        </w:rPr>
        <w:t>21.投标文件的补充、修改与撤回</w:t>
      </w:r>
      <w:bookmarkEnd w:id="54"/>
    </w:p>
    <w:p>
      <w:pPr>
        <w:pStyle w:val="23"/>
        <w:widowControl w:val="0"/>
        <w:numPr>
          <w:ilvl w:val="0"/>
          <w:numId w:val="4"/>
        </w:numPr>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投标人在提交投标文件截止时间前，可以对所提交的投标文件进行补充、修改或撤回，并以纸质版形式通知采购代理机构。在提交投标文件截止时间之后，投标人不得对其投标文件做出任何的补充和修改。</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投标人对投标文件的补充、修改的内容应当按招标文件要求的签署、盖章、密封后，作为投标文件的组成部分。并按照招标文件规定密封和标记的要求提交，并在投标文件密封袋上标明“补充、修改”字样。</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投标文件一经递交不予退还。</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在提交投标文件截止时间至投标有效期满之前，投标人不得撤回其投标，否则其投标保证金将不予退还。</w:t>
      </w:r>
    </w:p>
    <w:p>
      <w:pPr>
        <w:pStyle w:val="2"/>
        <w:rPr>
          <w:rFonts w:hint="eastAsia" w:ascii="宋体" w:hAnsi="宋体" w:eastAsia="宋体" w:cs="宋体"/>
          <w:color w:val="auto"/>
        </w:rPr>
      </w:pPr>
    </w:p>
    <w:p>
      <w:pPr>
        <w:pStyle w:val="4"/>
        <w:numPr>
          <w:ilvl w:val="0"/>
          <w:numId w:val="3"/>
        </w:numPr>
        <w:spacing w:before="0" w:after="0" w:line="480" w:lineRule="auto"/>
        <w:jc w:val="center"/>
        <w:rPr>
          <w:rFonts w:hint="eastAsia" w:ascii="宋体" w:hAnsi="宋体" w:eastAsia="宋体" w:cs="宋体"/>
          <w:color w:val="auto"/>
        </w:rPr>
      </w:pPr>
      <w:bookmarkStart w:id="55" w:name="_Toc31243"/>
      <w:r>
        <w:rPr>
          <w:rFonts w:hint="eastAsia" w:ascii="宋体" w:hAnsi="宋体" w:eastAsia="宋体" w:cs="宋体"/>
          <w:color w:val="auto"/>
        </w:rPr>
        <w:t>开标与评标</w:t>
      </w:r>
      <w:bookmarkEnd w:id="55"/>
    </w:p>
    <w:p>
      <w:pPr>
        <w:pStyle w:val="5"/>
        <w:widowControl w:val="0"/>
        <w:overflowPunct w:val="0"/>
        <w:spacing w:before="0" w:after="0" w:line="240" w:lineRule="auto"/>
        <w:rPr>
          <w:rFonts w:hint="eastAsia" w:ascii="宋体" w:hAnsi="宋体" w:eastAsia="宋体" w:cs="宋体"/>
          <w:color w:val="auto"/>
          <w:sz w:val="21"/>
          <w:szCs w:val="21"/>
        </w:rPr>
      </w:pPr>
      <w:bookmarkStart w:id="56" w:name="_Toc30340"/>
      <w:r>
        <w:rPr>
          <w:rFonts w:hint="eastAsia" w:ascii="宋体" w:hAnsi="宋体" w:eastAsia="宋体" w:cs="宋体"/>
          <w:color w:val="auto"/>
          <w:sz w:val="21"/>
          <w:szCs w:val="21"/>
        </w:rPr>
        <w:t>22.开标</w:t>
      </w:r>
      <w:bookmarkEnd w:id="56"/>
    </w:p>
    <w:p>
      <w:pPr>
        <w:pStyle w:val="23"/>
        <w:widowControl w:val="0"/>
        <w:numPr>
          <w:ilvl w:val="0"/>
          <w:numId w:val="4"/>
        </w:numPr>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采购代理机构按本招标文件所规定的时间和地点公开开标，并邀请所有投标人代表参加。</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开标程序：</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开标会由采购代理机构主持，投标人的法定代表人或其授权代表携带有效身份证明准时参加开标会并签名报到。</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开标时，由投标人或者其推选的代表检查投标文件的密封情况；经确认无误后，由采购人或者采购代理机构工作人员当众拆封，宣布投标人名称、投标价格和招标文件规定的需要宣布的其他内容；</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投标人代表对开标过程和开标记录有</w:t>
      </w:r>
      <w:r>
        <w:rPr>
          <w:rFonts w:hint="eastAsia" w:ascii="宋体" w:hAnsi="宋体" w:eastAsia="宋体" w:cs="宋体"/>
          <w:color w:val="auto"/>
          <w:sz w:val="21"/>
          <w:szCs w:val="21"/>
          <w:lang w:eastAsia="zh-CN"/>
        </w:rPr>
        <w:t>异议</w:t>
      </w:r>
      <w:r>
        <w:rPr>
          <w:rFonts w:hint="eastAsia" w:ascii="宋体" w:hAnsi="宋体" w:eastAsia="宋体" w:cs="宋体"/>
          <w:color w:val="auto"/>
          <w:sz w:val="21"/>
          <w:szCs w:val="21"/>
        </w:rPr>
        <w:t>，以及认为采购人、采购代理机构相关工作人员有需要回避的情形的，应当场提出询问或者回避申请。开标现场未提出</w:t>
      </w:r>
      <w:r>
        <w:rPr>
          <w:rFonts w:hint="eastAsia" w:ascii="宋体" w:hAnsi="宋体" w:eastAsia="宋体" w:cs="宋体"/>
          <w:color w:val="auto"/>
          <w:sz w:val="21"/>
          <w:szCs w:val="21"/>
          <w:lang w:eastAsia="zh-CN"/>
        </w:rPr>
        <w:t>异议</w:t>
      </w:r>
      <w:r>
        <w:rPr>
          <w:rFonts w:hint="eastAsia" w:ascii="宋体" w:hAnsi="宋体" w:eastAsia="宋体" w:cs="宋体"/>
          <w:color w:val="auto"/>
          <w:sz w:val="21"/>
          <w:szCs w:val="21"/>
        </w:rPr>
        <w:t>的视为认同开标结果。开标结束后，投标人对开标过程和开标记录不得再提出</w:t>
      </w:r>
      <w:r>
        <w:rPr>
          <w:rFonts w:hint="eastAsia" w:ascii="宋体" w:hAnsi="宋体" w:eastAsia="宋体" w:cs="宋体"/>
          <w:color w:val="auto"/>
          <w:sz w:val="21"/>
          <w:szCs w:val="21"/>
          <w:lang w:eastAsia="zh-CN"/>
        </w:rPr>
        <w:t>异议</w:t>
      </w:r>
      <w:r>
        <w:rPr>
          <w:rFonts w:hint="eastAsia" w:ascii="宋体" w:hAnsi="宋体" w:eastAsia="宋体" w:cs="宋体"/>
          <w:color w:val="auto"/>
          <w:sz w:val="21"/>
          <w:szCs w:val="21"/>
        </w:rPr>
        <w:t>。</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投标人未参加开标的，视同认可开标结果。</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合格投标人不足3家的，不得开标；</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开标过程应当由采购人或者采购代理机构负责记录，由参加开标的各投标人代表和相关工作人员签字确认。</w:t>
      </w:r>
    </w:p>
    <w:p>
      <w:pPr>
        <w:widowControl w:val="0"/>
        <w:adjustRightInd/>
        <w:snapToGrid/>
        <w:spacing w:after="0" w:line="360" w:lineRule="exact"/>
        <w:ind w:left="567"/>
        <w:jc w:val="both"/>
        <w:rPr>
          <w:rFonts w:hint="eastAsia" w:ascii="宋体" w:hAnsi="宋体" w:eastAsia="宋体" w:cs="宋体"/>
          <w:color w:val="auto"/>
        </w:rPr>
      </w:pPr>
    </w:p>
    <w:p>
      <w:pPr>
        <w:pStyle w:val="5"/>
        <w:widowControl w:val="0"/>
        <w:overflowPunct w:val="0"/>
        <w:spacing w:before="0" w:after="0" w:line="240" w:lineRule="auto"/>
        <w:rPr>
          <w:rFonts w:hint="eastAsia" w:ascii="宋体" w:hAnsi="宋体" w:eastAsia="宋体" w:cs="宋体"/>
          <w:color w:val="auto"/>
          <w:sz w:val="21"/>
          <w:szCs w:val="21"/>
        </w:rPr>
      </w:pPr>
      <w:bookmarkStart w:id="57" w:name="_Toc12198"/>
      <w:r>
        <w:rPr>
          <w:rFonts w:hint="eastAsia" w:ascii="宋体" w:hAnsi="宋体" w:eastAsia="宋体" w:cs="宋体"/>
          <w:color w:val="auto"/>
          <w:sz w:val="21"/>
          <w:szCs w:val="21"/>
        </w:rPr>
        <w:t>23.评标委员会及评标方法</w:t>
      </w:r>
      <w:bookmarkEnd w:id="57"/>
    </w:p>
    <w:p>
      <w:pPr>
        <w:pStyle w:val="23"/>
        <w:widowControl w:val="0"/>
        <w:numPr>
          <w:ilvl w:val="0"/>
          <w:numId w:val="4"/>
        </w:numPr>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评标委员会根据招标项目的特点进行组建，并负责评标工作。</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评审方法：本次招标的评审方法采用综合评分法。</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定标原则：在最大限度满足招标文件实质性要求前提下，按照招标文件规定的各项评价因素进行量化打分，以评标总得分最高的投标人作为中标候选人或中标人。</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评标委员会对投标文件的评审内容，分为商务评议、技术评议和价格评议。评审流程包括符合性检查、澄清问题、比较与评价、推荐中标候选人或确定中标人、编写评标报告等步骤。</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评标委员会和采购人在评审过程中有权核对投标文件中相关材料的原件，投标人在接到通知后应在评标委员会规定的时间内提交原件核查。</w:t>
      </w:r>
    </w:p>
    <w:p>
      <w:pPr>
        <w:rPr>
          <w:rFonts w:hint="eastAsia" w:ascii="宋体" w:hAnsi="宋体" w:eastAsia="宋体" w:cs="宋体"/>
          <w:color w:val="auto"/>
        </w:rPr>
      </w:pPr>
    </w:p>
    <w:p>
      <w:pPr>
        <w:pStyle w:val="5"/>
        <w:widowControl w:val="0"/>
        <w:overflowPunct w:val="0"/>
        <w:spacing w:before="0" w:after="0" w:line="240" w:lineRule="auto"/>
        <w:rPr>
          <w:rFonts w:hint="eastAsia" w:ascii="宋体" w:hAnsi="宋体" w:eastAsia="宋体" w:cs="宋体"/>
          <w:color w:val="auto"/>
          <w:sz w:val="21"/>
          <w:szCs w:val="21"/>
        </w:rPr>
      </w:pPr>
      <w:bookmarkStart w:id="58" w:name="_Toc23115"/>
      <w:r>
        <w:rPr>
          <w:rFonts w:hint="eastAsia" w:ascii="宋体" w:hAnsi="宋体" w:eastAsia="宋体" w:cs="宋体"/>
          <w:color w:val="auto"/>
          <w:sz w:val="21"/>
          <w:szCs w:val="21"/>
        </w:rPr>
        <w:t>24.评审原则及评标过程的保密</w:t>
      </w:r>
      <w:bookmarkEnd w:id="58"/>
    </w:p>
    <w:p>
      <w:pPr>
        <w:pStyle w:val="23"/>
        <w:widowControl w:val="0"/>
        <w:numPr>
          <w:ilvl w:val="0"/>
          <w:numId w:val="4"/>
        </w:numPr>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评审的基本原则：评标委员会将依据</w:t>
      </w:r>
      <w:r>
        <w:rPr>
          <w:rFonts w:hint="eastAsia" w:ascii="宋体" w:hAnsi="宋体" w:eastAsia="宋体" w:cs="宋体"/>
          <w:color w:val="auto"/>
          <w:sz w:val="21"/>
          <w:szCs w:val="21"/>
          <w:lang w:eastAsia="zh-CN"/>
        </w:rPr>
        <w:t>招标文件</w:t>
      </w:r>
      <w:r>
        <w:rPr>
          <w:rFonts w:hint="eastAsia" w:ascii="宋体" w:hAnsi="宋体" w:eastAsia="宋体" w:cs="宋体"/>
          <w:color w:val="auto"/>
          <w:sz w:val="21"/>
          <w:szCs w:val="21"/>
        </w:rPr>
        <w:t>的规定，遵循“公开、公平、公正、择优、信用”的原则进行评审工作。</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从公开开标到签订合同，凡与审查、澄清、评审和投标有关的资料以及定标意见相关的事项，均不得向投标人及与评标无关的其他人透露。</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任何单位和个人不得非法干预、影响评标的过程和结果。</w:t>
      </w:r>
    </w:p>
    <w:p>
      <w:pPr>
        <w:rPr>
          <w:rFonts w:hint="eastAsia" w:ascii="宋体" w:hAnsi="宋体" w:eastAsia="宋体" w:cs="宋体"/>
          <w:color w:val="auto"/>
        </w:rPr>
      </w:pPr>
    </w:p>
    <w:p>
      <w:pPr>
        <w:pStyle w:val="5"/>
        <w:widowControl w:val="0"/>
        <w:overflowPunct w:val="0"/>
        <w:spacing w:before="0" w:after="0" w:line="240" w:lineRule="auto"/>
        <w:rPr>
          <w:rFonts w:hint="eastAsia" w:ascii="宋体" w:hAnsi="宋体" w:eastAsia="宋体" w:cs="宋体"/>
          <w:color w:val="auto"/>
          <w:sz w:val="21"/>
          <w:szCs w:val="21"/>
        </w:rPr>
      </w:pPr>
      <w:bookmarkStart w:id="59" w:name="_Toc29486"/>
      <w:r>
        <w:rPr>
          <w:rFonts w:hint="eastAsia" w:ascii="宋体" w:hAnsi="宋体" w:eastAsia="宋体" w:cs="宋体"/>
          <w:color w:val="auto"/>
          <w:sz w:val="21"/>
          <w:szCs w:val="21"/>
        </w:rPr>
        <w:t>25.投标文件的初审</w:t>
      </w:r>
      <w:bookmarkEnd w:id="59"/>
    </w:p>
    <w:p>
      <w:pPr>
        <w:pStyle w:val="23"/>
        <w:widowControl w:val="0"/>
        <w:numPr>
          <w:ilvl w:val="0"/>
          <w:numId w:val="4"/>
        </w:numPr>
        <w:tabs>
          <w:tab w:val="left" w:pos="907"/>
        </w:tabs>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公开招标采购项目开标结束后，采购人或者采购代理机构将依法对投标人的资格进行审查。资格审查时，投标人存在不符合资格性检查所要求事项情况的，投标无效。未通过资格审查的投标人不进入评标阶段的评审；评标委员会将对符合资格的投标人的投标文件进行符合性审查，以确定其是否满足</w:t>
      </w:r>
      <w:r>
        <w:rPr>
          <w:rFonts w:hint="eastAsia" w:ascii="宋体" w:hAnsi="宋体" w:eastAsia="宋体" w:cs="宋体"/>
          <w:color w:val="auto"/>
          <w:sz w:val="21"/>
          <w:szCs w:val="21"/>
          <w:lang w:eastAsia="zh-CN"/>
        </w:rPr>
        <w:t>招标文件</w:t>
      </w:r>
      <w:r>
        <w:rPr>
          <w:rFonts w:hint="eastAsia" w:ascii="宋体" w:hAnsi="宋体" w:eastAsia="宋体" w:cs="宋体"/>
          <w:color w:val="auto"/>
          <w:sz w:val="21"/>
          <w:szCs w:val="21"/>
        </w:rPr>
        <w:t>的实质性要求。</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投标文件报价出现前后不一致的，评标委员会按照下列规定修正：</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投标文件中开标一览表（报价表）内容与投标文件中相应内容不一致的，以开标一览表（报价表）为准；</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大写金额和小写金额不一致的，以大写金额为准；</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单价金额小数点或者百分比有明显错位的，以开标一览表的总价为准，并修改单价；</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总价金额与按单价汇总金额不一致的，以单价金额计算结果为准。</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同时出现两种以上不一致的，按照前款规定的顺序修正。修正后的报价按照经投标人确认后产生约束力，投标人不确认的，其投标无效。</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评标委员会认为投标人的报价明显低于其他通过符合性审查投标人的报价，有可能影响产品质量或者不能诚信履约的，应当要求其在评标现场合理的时间内提供书面说明（以现场通知时间为准），必要时提交相关证明材料；投标人不能证明其报价合理性的，评标委员会应当将其作为无效投标处理。</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对于投标文件中不构成实质性偏差的不正规、不一致或不规则，评标委员会可以接受，但这种接受不能损害或影响任何投标人的相对排序。</w:t>
      </w:r>
    </w:p>
    <w:p>
      <w:pPr>
        <w:widowControl w:val="0"/>
        <w:numPr>
          <w:ilvl w:val="1"/>
          <w:numId w:val="4"/>
        </w:numPr>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在详细评标之前，评标委员会要审查每份投标文件是否实质上响应了招标文件的要求。实质上响应的投标应该是与招标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未响应招标文件的实质要求的投标文件</w:t>
      </w:r>
      <w:r>
        <w:rPr>
          <w:rFonts w:hint="eastAsia" w:ascii="宋体" w:hAnsi="宋体" w:eastAsia="宋体" w:cs="宋体"/>
          <w:color w:val="auto"/>
          <w:sz w:val="21"/>
          <w:szCs w:val="21"/>
        </w:rPr>
        <w:t>作废标处理。投标人不得通过修正或撤消不合要求的偏离或保留从而使其投标成为实质上响应的投标。评标委员会评审中，</w:t>
      </w:r>
      <w:r>
        <w:rPr>
          <w:rFonts w:hint="eastAsia" w:ascii="宋体" w:hAnsi="宋体" w:eastAsia="宋体" w:cs="宋体"/>
          <w:b/>
          <w:color w:val="auto"/>
          <w:sz w:val="21"/>
          <w:szCs w:val="21"/>
        </w:rPr>
        <w:t>发现下列情况之一的，其投标将作废标处理</w:t>
      </w:r>
      <w:r>
        <w:rPr>
          <w:rFonts w:hint="eastAsia" w:ascii="宋体" w:hAnsi="宋体" w:eastAsia="宋体" w:cs="宋体"/>
          <w:color w:val="auto"/>
          <w:sz w:val="21"/>
          <w:szCs w:val="21"/>
        </w:rPr>
        <w:t>：</w:t>
      </w:r>
    </w:p>
    <w:p>
      <w:pPr>
        <w:widowControl w:val="0"/>
        <w:tabs>
          <w:tab w:val="left" w:pos="907"/>
        </w:tabs>
        <w:adjustRightInd/>
        <w:snapToGrid/>
        <w:spacing w:after="0" w:line="360" w:lineRule="exact"/>
        <w:ind w:left="567"/>
        <w:jc w:val="both"/>
        <w:rPr>
          <w:rFonts w:hint="eastAsia" w:ascii="宋体" w:hAnsi="宋体" w:eastAsia="宋体" w:cs="宋体"/>
          <w:b/>
          <w:color w:val="auto"/>
          <w:sz w:val="21"/>
          <w:szCs w:val="21"/>
        </w:rPr>
      </w:pPr>
      <w:r>
        <w:rPr>
          <w:rFonts w:hint="eastAsia" w:ascii="宋体" w:hAnsi="宋体" w:eastAsia="宋体" w:cs="宋体"/>
          <w:b/>
          <w:color w:val="auto"/>
          <w:sz w:val="21"/>
          <w:szCs w:val="21"/>
        </w:rPr>
        <w:t>（一）资格性检查</w:t>
      </w:r>
    </w:p>
    <w:p>
      <w:pPr>
        <w:widowControl w:val="0"/>
        <w:tabs>
          <w:tab w:val="left" w:pos="907"/>
        </w:tabs>
        <w:adjustRightInd/>
        <w:snapToGrid/>
        <w:spacing w:after="0" w:line="360" w:lineRule="exact"/>
        <w:ind w:left="567"/>
        <w:jc w:val="both"/>
        <w:rPr>
          <w:rFonts w:hint="eastAsia" w:ascii="宋体" w:hAnsi="宋体" w:eastAsia="宋体" w:cs="宋体"/>
          <w:b/>
          <w:color w:val="auto"/>
          <w:sz w:val="21"/>
          <w:szCs w:val="21"/>
        </w:rPr>
      </w:pPr>
      <w:r>
        <w:rPr>
          <w:rFonts w:hint="eastAsia" w:ascii="宋体" w:hAnsi="宋体" w:eastAsia="宋体" w:cs="宋体"/>
          <w:b/>
          <w:color w:val="auto"/>
          <w:sz w:val="21"/>
          <w:szCs w:val="21"/>
        </w:rPr>
        <w:t>1) 资格瑕疵</w:t>
      </w:r>
    </w:p>
    <w:p>
      <w:pPr>
        <w:widowControl w:val="0"/>
        <w:tabs>
          <w:tab w:val="left" w:pos="907"/>
        </w:tabs>
        <w:adjustRightInd/>
        <w:snapToGrid/>
        <w:spacing w:after="0" w:line="360" w:lineRule="exact"/>
        <w:ind w:left="567"/>
        <w:jc w:val="both"/>
        <w:rPr>
          <w:rFonts w:hint="eastAsia" w:ascii="宋体" w:hAnsi="宋体" w:eastAsia="宋体" w:cs="宋体"/>
          <w:color w:val="auto"/>
          <w:sz w:val="21"/>
          <w:szCs w:val="21"/>
        </w:rPr>
      </w:pPr>
      <w:r>
        <w:rPr>
          <w:rFonts w:hint="eastAsia" w:ascii="宋体" w:hAnsi="宋体" w:eastAsia="宋体" w:cs="宋体"/>
          <w:color w:val="auto"/>
          <w:sz w:val="21"/>
          <w:szCs w:val="21"/>
        </w:rPr>
        <w:t>包括但不限于：①资格证明文件未提供或不符合招标文件要求的； ②资格证明文件有效期过期的；③《营业执照》复印件（加盖公章）或《事业单位法人证书》复印件（加盖公章）或其他主体证书复印件（加盖公章）未提供或有效期过期的。</w:t>
      </w:r>
    </w:p>
    <w:p>
      <w:pPr>
        <w:widowControl w:val="0"/>
        <w:tabs>
          <w:tab w:val="left" w:pos="907"/>
        </w:tabs>
        <w:adjustRightInd/>
        <w:snapToGrid/>
        <w:spacing w:after="0" w:line="360" w:lineRule="exact"/>
        <w:ind w:left="567"/>
        <w:jc w:val="both"/>
        <w:rPr>
          <w:rFonts w:hint="eastAsia" w:ascii="宋体" w:hAnsi="宋体" w:eastAsia="宋体" w:cs="宋体"/>
          <w:b/>
          <w:color w:val="auto"/>
          <w:sz w:val="21"/>
          <w:szCs w:val="21"/>
        </w:rPr>
      </w:pPr>
      <w:r>
        <w:rPr>
          <w:rFonts w:hint="eastAsia" w:ascii="宋体" w:hAnsi="宋体" w:eastAsia="宋体" w:cs="宋体"/>
          <w:b/>
          <w:color w:val="auto"/>
          <w:sz w:val="21"/>
          <w:szCs w:val="21"/>
        </w:rPr>
        <w:t>2) 投标保证金瑕疵</w:t>
      </w:r>
    </w:p>
    <w:p>
      <w:pPr>
        <w:widowControl w:val="0"/>
        <w:tabs>
          <w:tab w:val="left" w:pos="907"/>
        </w:tabs>
        <w:adjustRightInd/>
        <w:snapToGrid/>
        <w:spacing w:after="0" w:line="360" w:lineRule="exact"/>
        <w:ind w:left="567"/>
        <w:jc w:val="both"/>
        <w:rPr>
          <w:rFonts w:hint="eastAsia" w:ascii="宋体" w:hAnsi="宋体" w:eastAsia="宋体" w:cs="宋体"/>
          <w:color w:val="auto"/>
          <w:sz w:val="21"/>
          <w:szCs w:val="21"/>
        </w:rPr>
      </w:pPr>
      <w:r>
        <w:rPr>
          <w:rFonts w:hint="eastAsia" w:ascii="宋体" w:hAnsi="宋体" w:eastAsia="宋体" w:cs="宋体"/>
          <w:color w:val="auto"/>
          <w:sz w:val="21"/>
          <w:szCs w:val="21"/>
        </w:rPr>
        <w:t>包括但不限于：①投标人未按招标文件要求提交投标保证金；②提交方式、提交时间、提交金额不符合招标文件要求；③投标保证金有效期不符合招标文件要求。</w:t>
      </w:r>
      <w:bookmarkStart w:id="60" w:name="_Ref179621189"/>
    </w:p>
    <w:p>
      <w:pPr>
        <w:widowControl w:val="0"/>
        <w:tabs>
          <w:tab w:val="left" w:pos="907"/>
        </w:tabs>
        <w:adjustRightInd/>
        <w:snapToGrid/>
        <w:spacing w:after="0" w:line="360" w:lineRule="exact"/>
        <w:ind w:left="567"/>
        <w:jc w:val="both"/>
        <w:rPr>
          <w:rFonts w:hint="eastAsia" w:ascii="宋体" w:hAnsi="宋体" w:eastAsia="宋体" w:cs="宋体"/>
          <w:b/>
          <w:color w:val="auto"/>
          <w:sz w:val="21"/>
          <w:szCs w:val="21"/>
        </w:rPr>
      </w:pPr>
      <w:r>
        <w:rPr>
          <w:rFonts w:hint="eastAsia" w:ascii="宋体" w:hAnsi="宋体" w:eastAsia="宋体" w:cs="宋体"/>
          <w:b/>
          <w:color w:val="auto"/>
          <w:sz w:val="21"/>
          <w:szCs w:val="21"/>
        </w:rPr>
        <w:t>（二）符合性检查</w:t>
      </w:r>
      <w:bookmarkEnd w:id="60"/>
    </w:p>
    <w:p>
      <w:pPr>
        <w:widowControl w:val="0"/>
        <w:tabs>
          <w:tab w:val="left" w:pos="907"/>
        </w:tabs>
        <w:adjustRightInd/>
        <w:snapToGrid/>
        <w:spacing w:after="0" w:line="360" w:lineRule="exact"/>
        <w:ind w:left="567"/>
        <w:jc w:val="both"/>
        <w:rPr>
          <w:rFonts w:hint="eastAsia" w:ascii="宋体" w:hAnsi="宋体" w:eastAsia="宋体" w:cs="宋体"/>
          <w:color w:val="auto"/>
          <w:sz w:val="21"/>
          <w:szCs w:val="21"/>
        </w:rPr>
      </w:pPr>
      <w:r>
        <w:rPr>
          <w:rFonts w:hint="eastAsia" w:ascii="宋体" w:hAnsi="宋体" w:eastAsia="宋体" w:cs="宋体"/>
          <w:b/>
          <w:color w:val="auto"/>
          <w:sz w:val="21"/>
          <w:szCs w:val="21"/>
        </w:rPr>
        <w:t>1) 投标文件的有效性、完整性瑕疵</w:t>
      </w:r>
    </w:p>
    <w:p>
      <w:pPr>
        <w:widowControl w:val="0"/>
        <w:tabs>
          <w:tab w:val="left" w:pos="907"/>
        </w:tabs>
        <w:adjustRightInd/>
        <w:snapToGrid/>
        <w:spacing w:after="0" w:line="360" w:lineRule="exact"/>
        <w:ind w:left="567"/>
        <w:jc w:val="both"/>
        <w:rPr>
          <w:rFonts w:hint="eastAsia" w:ascii="宋体" w:hAnsi="宋体" w:eastAsia="宋体" w:cs="宋体"/>
          <w:color w:val="auto"/>
          <w:sz w:val="21"/>
          <w:szCs w:val="21"/>
        </w:rPr>
      </w:pPr>
      <w:r>
        <w:rPr>
          <w:rFonts w:hint="eastAsia" w:ascii="宋体" w:hAnsi="宋体" w:eastAsia="宋体" w:cs="宋体"/>
          <w:color w:val="auto"/>
          <w:sz w:val="21"/>
          <w:szCs w:val="21"/>
        </w:rPr>
        <w:t>包括但不限于：①投标文件的数量、制作不符合要求（包括但不限于投标文件内容与采购内容不符，投标文件项目</w:t>
      </w:r>
      <w:r>
        <w:rPr>
          <w:rFonts w:hint="eastAsia" w:ascii="宋体" w:hAnsi="宋体" w:eastAsia="宋体" w:cs="宋体"/>
          <w:color w:val="auto"/>
          <w:sz w:val="21"/>
          <w:szCs w:val="21"/>
          <w:lang w:eastAsia="zh-CN"/>
        </w:rPr>
        <w:t>采购项目编号</w:t>
      </w:r>
      <w:r>
        <w:rPr>
          <w:rFonts w:hint="eastAsia" w:ascii="宋体" w:hAnsi="宋体" w:eastAsia="宋体" w:cs="宋体"/>
          <w:color w:val="auto"/>
          <w:sz w:val="21"/>
          <w:szCs w:val="21"/>
        </w:rPr>
        <w:t>错误，投标文件项目名称错误导致无法分表所投项目为本项目的，</w:t>
      </w:r>
      <w:r>
        <w:rPr>
          <w:rFonts w:hint="eastAsia" w:ascii="宋体" w:hAnsi="宋体" w:eastAsia="宋体" w:cs="宋体"/>
          <w:color w:val="auto"/>
          <w:sz w:val="21"/>
          <w:szCs w:val="21"/>
          <w:lang w:eastAsia="zh-CN"/>
        </w:rPr>
        <w:t>投标文件散落</w:t>
      </w:r>
      <w:r>
        <w:rPr>
          <w:rFonts w:hint="eastAsia" w:ascii="宋体" w:hAnsi="宋体" w:eastAsia="宋体" w:cs="宋体"/>
          <w:color w:val="auto"/>
          <w:sz w:val="21"/>
          <w:szCs w:val="21"/>
        </w:rPr>
        <w:t>，未提供单独的开标文件等）；②投标文件中要求签字的内容无法定代表人或其授权代表签字，或签字人无法定代表人有效授权的；③签字盖章不符合招标文件要求的；④投标文件内容有严重缺漏项的；⑤投标报价有严重缺漏项的；⑥投标文件的关键内容字迹模糊、无法辨认的；⑦投标有效期不符合文件要求的；⑧投标书内容存在严重缺漏项的。</w:t>
      </w:r>
    </w:p>
    <w:p>
      <w:pPr>
        <w:widowControl w:val="0"/>
        <w:tabs>
          <w:tab w:val="left" w:pos="907"/>
        </w:tabs>
        <w:adjustRightInd/>
        <w:snapToGrid/>
        <w:spacing w:after="0" w:line="360" w:lineRule="exact"/>
        <w:ind w:left="567"/>
        <w:jc w:val="both"/>
        <w:rPr>
          <w:rFonts w:hint="eastAsia" w:ascii="宋体" w:hAnsi="宋体" w:eastAsia="宋体" w:cs="宋体"/>
          <w:b/>
          <w:color w:val="auto"/>
          <w:sz w:val="21"/>
          <w:szCs w:val="21"/>
        </w:rPr>
      </w:pPr>
      <w:r>
        <w:rPr>
          <w:rFonts w:hint="eastAsia" w:ascii="宋体" w:hAnsi="宋体" w:eastAsia="宋体" w:cs="宋体"/>
          <w:b/>
          <w:color w:val="auto"/>
          <w:sz w:val="21"/>
          <w:szCs w:val="21"/>
        </w:rPr>
        <w:t>2) 技术响应瑕疵</w:t>
      </w:r>
    </w:p>
    <w:p>
      <w:pPr>
        <w:widowControl w:val="0"/>
        <w:tabs>
          <w:tab w:val="left" w:pos="907"/>
        </w:tabs>
        <w:adjustRightInd/>
        <w:snapToGrid/>
        <w:spacing w:after="0" w:line="360" w:lineRule="exact"/>
        <w:ind w:left="567"/>
        <w:jc w:val="both"/>
        <w:rPr>
          <w:rFonts w:hint="eastAsia" w:ascii="宋体" w:hAnsi="宋体" w:eastAsia="宋体" w:cs="宋体"/>
          <w:color w:val="auto"/>
          <w:sz w:val="21"/>
          <w:szCs w:val="21"/>
        </w:rPr>
      </w:pPr>
      <w:r>
        <w:rPr>
          <w:rFonts w:hint="eastAsia" w:ascii="宋体" w:hAnsi="宋体" w:eastAsia="宋体" w:cs="宋体"/>
          <w:color w:val="auto"/>
          <w:sz w:val="21"/>
          <w:szCs w:val="21"/>
        </w:rPr>
        <w:t>包括但不限于：①投标文件不满足招标文件中加注星号（★）的主要参数要求或加注星号的主要参数无技术资料支持的；②一般参数超出允许偏离的最大范围或最高项数的；③投标文件技术响应与事实不符或虚假投标的；④《技术规格偏离表》未提供的；⑤将一个包中的内容拆开投标的；⑥投标人对同一货物或服务投标时，同时提供两套或两套以上的投标方案的；⑦明显不符合技术规格、技术标准要求的；⑧其他未实质性响应招标文件技术要求的。</w:t>
      </w:r>
    </w:p>
    <w:p>
      <w:pPr>
        <w:widowControl w:val="0"/>
        <w:tabs>
          <w:tab w:val="left" w:pos="907"/>
        </w:tabs>
        <w:adjustRightInd/>
        <w:snapToGrid/>
        <w:spacing w:after="0" w:line="360" w:lineRule="exact"/>
        <w:ind w:left="567"/>
        <w:jc w:val="both"/>
        <w:rPr>
          <w:rFonts w:hint="eastAsia" w:ascii="宋体" w:hAnsi="宋体" w:eastAsia="宋体" w:cs="宋体"/>
          <w:b/>
          <w:color w:val="auto"/>
          <w:sz w:val="21"/>
          <w:szCs w:val="21"/>
        </w:rPr>
      </w:pPr>
      <w:r>
        <w:rPr>
          <w:rFonts w:hint="eastAsia" w:ascii="宋体" w:hAnsi="宋体" w:eastAsia="宋体" w:cs="宋体"/>
          <w:b/>
          <w:color w:val="auto"/>
          <w:sz w:val="21"/>
          <w:szCs w:val="21"/>
        </w:rPr>
        <w:t>3) 商务响应瑕疵</w:t>
      </w:r>
    </w:p>
    <w:p>
      <w:pPr>
        <w:widowControl w:val="0"/>
        <w:tabs>
          <w:tab w:val="left" w:pos="907"/>
        </w:tabs>
        <w:adjustRightInd/>
        <w:snapToGrid/>
        <w:spacing w:after="0" w:line="360" w:lineRule="exact"/>
        <w:ind w:left="567"/>
        <w:jc w:val="both"/>
        <w:rPr>
          <w:rFonts w:hint="eastAsia" w:ascii="宋体" w:hAnsi="宋体" w:eastAsia="宋体" w:cs="宋体"/>
          <w:color w:val="auto"/>
          <w:sz w:val="21"/>
          <w:szCs w:val="21"/>
        </w:rPr>
      </w:pPr>
      <w:r>
        <w:rPr>
          <w:rFonts w:hint="eastAsia" w:ascii="宋体" w:hAnsi="宋体" w:eastAsia="宋体" w:cs="宋体"/>
          <w:color w:val="auto"/>
          <w:sz w:val="21"/>
          <w:szCs w:val="21"/>
        </w:rPr>
        <w:t>包括但不限于：①招标文件加注星号（★）的商务要求负偏离的；②招标项目完成期（包括但不限于：工期，服务期，交货期等）未满足招标文件要求的；③投标文件载明的货物包装方式、检验标准和方法不符合招标文件要求的；④《商务条款偏离表》未提供的；⑤采购代理机构服务费条款有偏离的；⑥投标人低于成本报价且未提供相关说明文件竞标的；⑦投标文件附有采购人不能接受的条件的；⑧其他未实质性响应招标文件商务要求的。</w:t>
      </w:r>
    </w:p>
    <w:p>
      <w:pPr>
        <w:widowControl w:val="0"/>
        <w:tabs>
          <w:tab w:val="left" w:pos="907"/>
        </w:tabs>
        <w:adjustRightInd/>
        <w:snapToGrid/>
        <w:spacing w:after="0" w:line="360" w:lineRule="exact"/>
        <w:ind w:left="567"/>
        <w:jc w:val="both"/>
        <w:rPr>
          <w:rFonts w:hint="eastAsia" w:ascii="宋体" w:hAnsi="宋体" w:eastAsia="宋体" w:cs="宋体"/>
          <w:b/>
          <w:color w:val="auto"/>
          <w:sz w:val="21"/>
          <w:szCs w:val="21"/>
        </w:rPr>
      </w:pPr>
      <w:r>
        <w:rPr>
          <w:rFonts w:hint="eastAsia" w:ascii="宋体" w:hAnsi="宋体" w:eastAsia="宋体" w:cs="宋体"/>
          <w:b/>
          <w:color w:val="auto"/>
          <w:sz w:val="21"/>
          <w:szCs w:val="21"/>
        </w:rPr>
        <w:t>4）投标报价瑕疵</w:t>
      </w:r>
    </w:p>
    <w:p>
      <w:pPr>
        <w:widowControl w:val="0"/>
        <w:tabs>
          <w:tab w:val="left" w:pos="907"/>
        </w:tabs>
        <w:adjustRightInd/>
        <w:snapToGrid/>
        <w:spacing w:after="0" w:line="360" w:lineRule="exact"/>
        <w:ind w:left="567"/>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rPr>
        <w:t>①投标报价超过本招标文件明确的项目预算或文件明确的最高限价；②投标报价格式与文件要求不符</w:t>
      </w:r>
      <w:r>
        <w:rPr>
          <w:rFonts w:hint="eastAsia" w:ascii="宋体" w:hAnsi="宋体" w:eastAsia="宋体" w:cs="宋体"/>
          <w:color w:val="auto"/>
          <w:sz w:val="21"/>
          <w:szCs w:val="21"/>
          <w:lang w:eastAsia="zh-CN"/>
        </w:rPr>
        <w:t>；③开标一览表格式或内容与招标文件要求不符。</w:t>
      </w:r>
    </w:p>
    <w:p>
      <w:pPr>
        <w:widowControl w:val="0"/>
        <w:tabs>
          <w:tab w:val="left" w:pos="907"/>
        </w:tabs>
        <w:adjustRightInd/>
        <w:snapToGrid/>
        <w:spacing w:after="0" w:line="360" w:lineRule="exact"/>
        <w:ind w:left="567"/>
        <w:jc w:val="both"/>
        <w:rPr>
          <w:rFonts w:hint="eastAsia" w:ascii="宋体" w:hAnsi="宋体" w:eastAsia="宋体" w:cs="宋体"/>
          <w:b/>
          <w:color w:val="auto"/>
          <w:sz w:val="21"/>
          <w:szCs w:val="21"/>
        </w:rPr>
      </w:pPr>
      <w:r>
        <w:rPr>
          <w:rFonts w:hint="eastAsia" w:ascii="宋体" w:hAnsi="宋体" w:eastAsia="宋体" w:cs="宋体"/>
          <w:b/>
          <w:color w:val="auto"/>
          <w:sz w:val="21"/>
          <w:szCs w:val="21"/>
        </w:rPr>
        <w:t>5）违规行为</w:t>
      </w:r>
    </w:p>
    <w:p>
      <w:pPr>
        <w:widowControl w:val="0"/>
        <w:tabs>
          <w:tab w:val="left" w:pos="907"/>
        </w:tabs>
        <w:adjustRightInd/>
        <w:snapToGrid/>
        <w:spacing w:after="0" w:line="360" w:lineRule="exact"/>
        <w:ind w:left="567"/>
        <w:jc w:val="both"/>
        <w:rPr>
          <w:rFonts w:hint="eastAsia" w:ascii="宋体" w:hAnsi="宋体" w:eastAsia="宋体" w:cs="宋体"/>
          <w:color w:val="auto"/>
          <w:sz w:val="21"/>
          <w:szCs w:val="21"/>
        </w:rPr>
      </w:pPr>
      <w:r>
        <w:rPr>
          <w:rFonts w:hint="eastAsia" w:ascii="宋体" w:hAnsi="宋体" w:eastAsia="宋体" w:cs="宋体"/>
          <w:color w:val="auto"/>
          <w:sz w:val="21"/>
          <w:szCs w:val="21"/>
        </w:rPr>
        <w:t>包括但不限于：①以他人的名义投标、串通投标、以行贿手段谋取中标或者以其他弄虚作假方式投标的；②扰乱开标、评标秩序，干扰招标工作正常进行的。</w:t>
      </w:r>
    </w:p>
    <w:p>
      <w:pPr>
        <w:widowControl w:val="0"/>
        <w:tabs>
          <w:tab w:val="left" w:pos="907"/>
        </w:tabs>
        <w:adjustRightInd/>
        <w:snapToGrid/>
        <w:spacing w:after="0" w:line="360" w:lineRule="exact"/>
        <w:ind w:left="567"/>
        <w:jc w:val="both"/>
        <w:rPr>
          <w:rFonts w:hint="eastAsia" w:ascii="宋体" w:hAnsi="宋体" w:eastAsia="宋体" w:cs="宋体"/>
          <w:b/>
          <w:color w:val="auto"/>
          <w:sz w:val="21"/>
          <w:szCs w:val="21"/>
        </w:rPr>
      </w:pPr>
      <w:r>
        <w:rPr>
          <w:rFonts w:hint="eastAsia" w:ascii="宋体" w:hAnsi="宋体" w:eastAsia="宋体" w:cs="宋体"/>
          <w:b/>
          <w:color w:val="auto"/>
          <w:sz w:val="21"/>
          <w:szCs w:val="21"/>
        </w:rPr>
        <w:t>6)法律法规及招标文件中规定的其它情形。</w:t>
      </w:r>
    </w:p>
    <w:p>
      <w:pPr>
        <w:widowControl w:val="0"/>
        <w:tabs>
          <w:tab w:val="left" w:pos="907"/>
        </w:tabs>
        <w:adjustRightInd/>
        <w:snapToGrid/>
        <w:spacing w:after="0" w:line="360" w:lineRule="exact"/>
        <w:ind w:left="567"/>
        <w:jc w:val="both"/>
        <w:rPr>
          <w:rFonts w:hint="eastAsia" w:ascii="宋体" w:hAnsi="宋体" w:eastAsia="宋体" w:cs="宋体"/>
          <w:color w:val="auto"/>
          <w:sz w:val="21"/>
          <w:szCs w:val="21"/>
        </w:rPr>
      </w:pPr>
      <w:r>
        <w:rPr>
          <w:rFonts w:hint="eastAsia" w:ascii="宋体" w:hAnsi="宋体" w:eastAsia="宋体" w:cs="宋体"/>
          <w:color w:val="auto"/>
          <w:sz w:val="21"/>
          <w:szCs w:val="21"/>
        </w:rPr>
        <w:t>根据项目情况，评标委员会有权决定招标文件中“可能导致废标”或“可能导致其投标被拒绝”等具体条款是否实施“废标”或“投标被拒绝”，但对同一条款的裁决应适用于每个投标人。</w:t>
      </w:r>
    </w:p>
    <w:p>
      <w:pPr>
        <w:rPr>
          <w:rFonts w:hint="eastAsia" w:ascii="宋体" w:hAnsi="宋体" w:eastAsia="宋体" w:cs="宋体"/>
          <w:color w:val="auto"/>
        </w:rPr>
      </w:pPr>
    </w:p>
    <w:p>
      <w:pPr>
        <w:pStyle w:val="5"/>
        <w:widowControl w:val="0"/>
        <w:overflowPunct w:val="0"/>
        <w:spacing w:before="0" w:after="0" w:line="240" w:lineRule="auto"/>
        <w:rPr>
          <w:rFonts w:hint="eastAsia" w:ascii="宋体" w:hAnsi="宋体" w:eastAsia="宋体" w:cs="宋体"/>
          <w:color w:val="auto"/>
          <w:sz w:val="21"/>
          <w:szCs w:val="21"/>
        </w:rPr>
      </w:pPr>
      <w:bookmarkStart w:id="61" w:name="_Toc19775"/>
      <w:r>
        <w:rPr>
          <w:rFonts w:hint="eastAsia" w:ascii="宋体" w:hAnsi="宋体" w:eastAsia="宋体" w:cs="宋体"/>
          <w:color w:val="auto"/>
          <w:sz w:val="21"/>
          <w:szCs w:val="21"/>
        </w:rPr>
        <w:t>26.商务、技术、价格评审（具体评审项目详见投标资料表）</w:t>
      </w:r>
      <w:bookmarkEnd w:id="61"/>
    </w:p>
    <w:p>
      <w:pPr>
        <w:pStyle w:val="23"/>
        <w:widowControl w:val="0"/>
        <w:numPr>
          <w:ilvl w:val="0"/>
          <w:numId w:val="4"/>
        </w:numPr>
        <w:tabs>
          <w:tab w:val="left" w:pos="907"/>
        </w:tabs>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 xml:space="preserve">对通过资格性审查和符合性检查的投标人进行商务技术综合评议，针对投标文件对招标文件的响应情况对各个投标人进行商务和技术评分。 </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评标委员会对通过符合性审查的投标文件进行详细评审。评标委员会对每一投标文件进行详细的商务评审、技术评审。按照评审程序的规定和依据评分标准，各位评委就每个投标人的技术、商务状况及其对招标文件要求的响应情况进行评议和比较，评出其技术评分和商务评分。根据招标文件规定评出得分，将价格得分、商务得分、技术得分相加得出最终评标得分。</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widowControl w:val="0"/>
        <w:tabs>
          <w:tab w:val="left" w:pos="907"/>
        </w:tabs>
        <w:adjustRightInd/>
        <w:snapToGrid/>
        <w:spacing w:after="0" w:line="360" w:lineRule="exact"/>
        <w:ind w:left="567"/>
        <w:jc w:val="both"/>
        <w:rPr>
          <w:rFonts w:hint="eastAsia" w:ascii="宋体" w:hAnsi="宋体" w:eastAsia="宋体" w:cs="宋体"/>
          <w:color w:val="auto"/>
          <w:sz w:val="21"/>
          <w:szCs w:val="21"/>
        </w:rPr>
      </w:pPr>
    </w:p>
    <w:p>
      <w:pPr>
        <w:pStyle w:val="5"/>
        <w:widowControl w:val="0"/>
        <w:overflowPunct w:val="0"/>
        <w:spacing w:before="0" w:after="0" w:line="240" w:lineRule="auto"/>
        <w:rPr>
          <w:rFonts w:hint="eastAsia" w:ascii="宋体" w:hAnsi="宋体" w:eastAsia="宋体" w:cs="宋体"/>
          <w:color w:val="auto"/>
          <w:sz w:val="21"/>
          <w:szCs w:val="21"/>
          <w:lang w:val="en-US" w:eastAsia="zh-CN"/>
        </w:rPr>
      </w:pPr>
      <w:bookmarkStart w:id="62" w:name="_Toc17229"/>
      <w:r>
        <w:rPr>
          <w:rFonts w:hint="eastAsia" w:ascii="宋体" w:hAnsi="宋体" w:eastAsia="宋体" w:cs="宋体"/>
          <w:color w:val="auto"/>
          <w:sz w:val="21"/>
          <w:szCs w:val="21"/>
        </w:rPr>
        <w:t>27.优惠政策</w:t>
      </w:r>
      <w:bookmarkEnd w:id="62"/>
      <w:r>
        <w:rPr>
          <w:rFonts w:hint="eastAsia" w:ascii="宋体" w:hAnsi="宋体" w:eastAsia="宋体" w:cs="宋体"/>
          <w:color w:val="auto"/>
          <w:sz w:val="21"/>
          <w:szCs w:val="21"/>
          <w:lang w:eastAsia="zh-CN"/>
        </w:rPr>
        <w:t>（仅适用于政府采购）</w:t>
      </w:r>
    </w:p>
    <w:p>
      <w:pPr>
        <w:pStyle w:val="23"/>
        <w:widowControl w:val="0"/>
        <w:numPr>
          <w:ilvl w:val="0"/>
          <w:numId w:val="4"/>
        </w:numPr>
        <w:tabs>
          <w:tab w:val="left" w:pos="907"/>
        </w:tabs>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对小型或微型企业、监狱企业、残疾人福利性单位投标的扶持：</w:t>
      </w:r>
    </w:p>
    <w:p>
      <w:pPr>
        <w:widowControl w:val="0"/>
        <w:tabs>
          <w:tab w:val="left" w:pos="907"/>
        </w:tabs>
        <w:adjustRightInd/>
        <w:snapToGrid/>
        <w:spacing w:after="0" w:line="360" w:lineRule="exact"/>
        <w:ind w:left="567"/>
        <w:jc w:val="both"/>
        <w:rPr>
          <w:rFonts w:hint="eastAsia" w:ascii="宋体" w:hAnsi="宋体" w:eastAsia="宋体" w:cs="宋体"/>
          <w:color w:val="auto"/>
          <w:sz w:val="21"/>
          <w:szCs w:val="21"/>
        </w:rPr>
      </w:pPr>
      <w:r>
        <w:rPr>
          <w:rFonts w:hint="eastAsia" w:ascii="宋体" w:hAnsi="宋体" w:eastAsia="宋体" w:cs="宋体"/>
          <w:color w:val="auto"/>
          <w:sz w:val="21"/>
          <w:szCs w:val="21"/>
        </w:rPr>
        <w:t>根据财政部、工业和信息化部制定了《政府采购促进中小企业发展暂行办法》的规定，对小型或微型企业产品的价格给予一定比例扣除，用扣除后的价格参与评审。（参加政府采购活动的中小企业应按照招标文件中投标文件格式提出《中小企业声明函》）残疾人福利性单位、监狱企业（注：参加政府采购活动的监狱企业必须提供由省级以上监狱管理局、戒毒管理局(含新疆生产建设兵团)出具的监狱企业证明文件）视同小型、微型企业。</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符合中小企业划分标准：应当符合《工业和信息化部、国家统计局、国家发展和改革委员会、财政部关于印发中小企业划型标准规定的通知》（工信部联企业〔2011〕300号）的规定；提供本企业制造的货物、承担的工程或者服务，或者提供其他小型或微型企业的制造的货物。本项所称货物不包括使用大型企业注册商标的货物。</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投标人为小型或微型企业且投标产品含小型或微型企业产品时，其</w:t>
      </w:r>
      <w:r>
        <w:rPr>
          <w:rFonts w:hint="eastAsia" w:ascii="宋体" w:hAnsi="宋体" w:eastAsia="宋体" w:cs="宋体"/>
          <w:color w:val="auto"/>
          <w:sz w:val="21"/>
          <w:szCs w:val="21"/>
          <w:lang w:eastAsia="zh-CN"/>
        </w:rPr>
        <w:t>对应产品</w:t>
      </w:r>
      <w:r>
        <w:rPr>
          <w:rFonts w:hint="eastAsia" w:ascii="宋体" w:hAnsi="宋体" w:eastAsia="宋体" w:cs="宋体"/>
          <w:color w:val="auto"/>
          <w:sz w:val="21"/>
          <w:szCs w:val="21"/>
        </w:rPr>
        <w:t>价格的扣除详见投标资料表。</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投标人同时为小型、微型企业、监狱企业、残疾人福利性单位任两种或以上情况的，评审中只享受一次价格扣除，不重复进行价格扣除。</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大中型企业和其他自然人、法人或者其他组织与小型、微型企业组成联合体共同参加非专门面向中小企业的政府采购活动。联合协议中约定，小型、微型企业的协议合同金额占到联合体协议合同总金额30%以上的，可给予联合体一定的价格扣除（详见投标资料表）。</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符合享受政府采购支持政策的残疾人福利性单位划分标准（根据财政部 民政部 中国残疾人联合会关于促进残疾人就业政府采购政策的通知(财库[2017]141号)）：</w:t>
      </w:r>
    </w:p>
    <w:p>
      <w:pPr>
        <w:widowControl w:val="0"/>
        <w:tabs>
          <w:tab w:val="left" w:pos="907"/>
        </w:tabs>
        <w:adjustRightInd/>
        <w:snapToGrid/>
        <w:spacing w:after="0" w:line="360" w:lineRule="exact"/>
        <w:ind w:left="567"/>
        <w:jc w:val="both"/>
        <w:rPr>
          <w:rFonts w:hint="eastAsia" w:ascii="宋体" w:hAnsi="宋体" w:eastAsia="宋体" w:cs="宋体"/>
          <w:color w:val="auto"/>
          <w:sz w:val="21"/>
          <w:szCs w:val="21"/>
        </w:rPr>
      </w:pPr>
      <w:r>
        <w:rPr>
          <w:rFonts w:hint="eastAsia" w:ascii="宋体" w:hAnsi="宋体" w:eastAsia="宋体" w:cs="宋体"/>
          <w:color w:val="auto"/>
          <w:sz w:val="21"/>
          <w:szCs w:val="21"/>
        </w:rPr>
        <w:t>（1）安置的残疾人占本单位在职职工人数的比例不低于25%（含25%），并且安置的残疾人人数不少于10人（含10人）；</w:t>
      </w:r>
    </w:p>
    <w:p>
      <w:pPr>
        <w:widowControl w:val="0"/>
        <w:tabs>
          <w:tab w:val="left" w:pos="907"/>
        </w:tabs>
        <w:adjustRightInd/>
        <w:snapToGrid/>
        <w:spacing w:after="0" w:line="360" w:lineRule="exact"/>
        <w:ind w:left="567"/>
        <w:jc w:val="both"/>
        <w:rPr>
          <w:rFonts w:hint="eastAsia" w:ascii="宋体" w:hAnsi="宋体" w:eastAsia="宋体" w:cs="宋体"/>
          <w:color w:val="auto"/>
          <w:sz w:val="21"/>
          <w:szCs w:val="21"/>
        </w:rPr>
      </w:pPr>
      <w:r>
        <w:rPr>
          <w:rFonts w:hint="eastAsia" w:ascii="宋体" w:hAnsi="宋体" w:eastAsia="宋体" w:cs="宋体"/>
          <w:color w:val="auto"/>
          <w:sz w:val="21"/>
          <w:szCs w:val="21"/>
        </w:rPr>
        <w:t>（2）依法与安置的每位残疾人签订了一年以上（含一年）的劳动合同或服务协议；</w:t>
      </w:r>
    </w:p>
    <w:p>
      <w:pPr>
        <w:widowControl w:val="0"/>
        <w:tabs>
          <w:tab w:val="left" w:pos="907"/>
        </w:tabs>
        <w:adjustRightInd/>
        <w:snapToGrid/>
        <w:spacing w:after="0" w:line="360" w:lineRule="exact"/>
        <w:ind w:left="567"/>
        <w:jc w:val="both"/>
        <w:rPr>
          <w:rFonts w:hint="eastAsia" w:ascii="宋体" w:hAnsi="宋体" w:eastAsia="宋体" w:cs="宋体"/>
          <w:color w:val="auto"/>
          <w:sz w:val="21"/>
          <w:szCs w:val="21"/>
        </w:rPr>
      </w:pPr>
      <w:r>
        <w:rPr>
          <w:rFonts w:hint="eastAsia" w:ascii="宋体" w:hAnsi="宋体" w:eastAsia="宋体" w:cs="宋体"/>
          <w:color w:val="auto"/>
          <w:sz w:val="21"/>
          <w:szCs w:val="21"/>
        </w:rPr>
        <w:t>（3）为安置的每位残疾人按月足额缴纳了基本养老保险、基本医疗保险、失业保险、工伤保险和生育保险等社会保险费；</w:t>
      </w:r>
    </w:p>
    <w:p>
      <w:pPr>
        <w:widowControl w:val="0"/>
        <w:tabs>
          <w:tab w:val="left" w:pos="907"/>
        </w:tabs>
        <w:adjustRightInd/>
        <w:snapToGrid/>
        <w:spacing w:after="0" w:line="360" w:lineRule="exact"/>
        <w:ind w:left="567"/>
        <w:jc w:val="both"/>
        <w:rPr>
          <w:rFonts w:hint="eastAsia" w:ascii="宋体" w:hAnsi="宋体" w:eastAsia="宋体" w:cs="宋体"/>
          <w:color w:val="auto"/>
          <w:sz w:val="21"/>
          <w:szCs w:val="21"/>
        </w:rPr>
      </w:pPr>
      <w:r>
        <w:rPr>
          <w:rFonts w:hint="eastAsia" w:ascii="宋体" w:hAnsi="宋体" w:eastAsia="宋体" w:cs="宋体"/>
          <w:color w:val="auto"/>
          <w:sz w:val="21"/>
          <w:szCs w:val="21"/>
        </w:rPr>
        <w:t>（4）通过银行等金融机构向安置的每位残疾人，按月支付了不低于单位所在区县适用的经省级人民政府批准的月最低工资标准的工资；</w:t>
      </w:r>
    </w:p>
    <w:p>
      <w:pPr>
        <w:widowControl w:val="0"/>
        <w:tabs>
          <w:tab w:val="left" w:pos="907"/>
        </w:tabs>
        <w:adjustRightInd/>
        <w:snapToGrid/>
        <w:spacing w:after="0" w:line="360" w:lineRule="exact"/>
        <w:ind w:left="567"/>
        <w:jc w:val="both"/>
        <w:rPr>
          <w:rFonts w:hint="eastAsia" w:ascii="宋体" w:hAnsi="宋体" w:eastAsia="宋体" w:cs="宋体"/>
          <w:color w:val="auto"/>
          <w:sz w:val="21"/>
          <w:szCs w:val="21"/>
        </w:rPr>
      </w:pPr>
      <w:r>
        <w:rPr>
          <w:rFonts w:hint="eastAsia" w:ascii="宋体" w:hAnsi="宋体" w:eastAsia="宋体" w:cs="宋体"/>
          <w:color w:val="auto"/>
          <w:sz w:val="21"/>
          <w:szCs w:val="21"/>
        </w:rPr>
        <w:t>（5）提供本单位制造的货物、承担的工程或者服务（以下简称产品），或者提供其他残疾人福利性单位制造的货物（不包括使用非残疾人福利性单位注册商标的货物）。</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对节能产品或环境标志产品的扶持：</w:t>
      </w:r>
    </w:p>
    <w:p>
      <w:pPr>
        <w:widowControl w:val="0"/>
        <w:tabs>
          <w:tab w:val="left" w:pos="907"/>
        </w:tabs>
        <w:adjustRightInd/>
        <w:snapToGrid/>
        <w:spacing w:after="0" w:line="360" w:lineRule="exact"/>
        <w:ind w:left="567"/>
        <w:jc w:val="both"/>
        <w:rPr>
          <w:rFonts w:hint="eastAsia" w:ascii="宋体" w:hAnsi="宋体" w:eastAsia="宋体" w:cs="宋体"/>
          <w:color w:val="auto"/>
          <w:sz w:val="21"/>
          <w:szCs w:val="21"/>
        </w:rPr>
      </w:pPr>
      <w:r>
        <w:rPr>
          <w:rFonts w:hint="eastAsia" w:ascii="宋体" w:hAnsi="宋体" w:eastAsia="宋体" w:cs="宋体"/>
          <w:color w:val="auto"/>
          <w:sz w:val="21"/>
          <w:szCs w:val="21"/>
        </w:rPr>
        <w:t>根据《关于调整优化节能产品、环境标志产品政府采购执行机制的通知》（财库〔2019〕9号）及《转发财政部 发展改革委 生态环境部 市场监管总局关于调整优化节能产品 环境标志产品政府采购执行机制的通知》（粤财采购函〔2019〕1号）的规定，对提供节能产品或环境标志产品的投标单位的价格给予一定比例扣除（扣除比例详见投标资料表）。</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提供节能产品或环境标志产品的投标人其产品应符合以下规定：</w:t>
      </w:r>
    </w:p>
    <w:p>
      <w:pPr>
        <w:widowControl w:val="0"/>
        <w:numPr>
          <w:ilvl w:val="0"/>
          <w:numId w:val="7"/>
        </w:numPr>
        <w:tabs>
          <w:tab w:val="left" w:pos="907"/>
        </w:tabs>
        <w:adjustRightInd/>
        <w:snapToGrid/>
        <w:spacing w:after="0" w:line="360" w:lineRule="exact"/>
        <w:ind w:left="567"/>
        <w:jc w:val="both"/>
        <w:rPr>
          <w:rFonts w:hint="eastAsia" w:ascii="宋体" w:hAnsi="宋体" w:eastAsia="宋体" w:cs="宋体"/>
          <w:color w:val="auto"/>
          <w:sz w:val="21"/>
          <w:szCs w:val="21"/>
        </w:rPr>
      </w:pPr>
      <w:r>
        <w:rPr>
          <w:rFonts w:hint="eastAsia" w:ascii="宋体" w:hAnsi="宋体" w:eastAsia="宋体" w:cs="宋体"/>
          <w:color w:val="auto"/>
          <w:sz w:val="21"/>
          <w:szCs w:val="21"/>
        </w:rPr>
        <w:t>所投产品属于《节能产品政府采购品目清单》或《环境标志产品政府采购品目清单》的，投标人应如实填写《节能产品或环境标志产品列价表》并提供在有效期内的“节能产品认证证书”或“环境标志产品认证证书”。</w:t>
      </w:r>
    </w:p>
    <w:p>
      <w:pPr>
        <w:widowControl w:val="0"/>
        <w:numPr>
          <w:ilvl w:val="0"/>
          <w:numId w:val="7"/>
        </w:numPr>
        <w:tabs>
          <w:tab w:val="left" w:pos="907"/>
        </w:tabs>
        <w:adjustRightInd/>
        <w:snapToGrid/>
        <w:spacing w:after="0" w:line="360" w:lineRule="exact"/>
        <w:ind w:left="567"/>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所投节能产品或环境标志产品其认证证书的认证机构应属于《市场监管总局关于发布参与实施政府采购节能产品、环境标志产品认证机构名录的公告（2019年第16号）》公告中所公示的认证机构，若投标人所提供的产品认证证书其认证机构不属于以上公示中的机构，则视为无效认证，不给予价格扣除优惠。</w:t>
      </w:r>
    </w:p>
    <w:p>
      <w:pPr>
        <w:widowControl w:val="0"/>
        <w:numPr>
          <w:ilvl w:val="0"/>
          <w:numId w:val="7"/>
        </w:numPr>
        <w:tabs>
          <w:tab w:val="left" w:pos="907"/>
        </w:tabs>
        <w:adjustRightInd/>
        <w:snapToGrid/>
        <w:spacing w:after="0" w:line="360" w:lineRule="exact"/>
        <w:ind w:left="567"/>
        <w:jc w:val="both"/>
        <w:rPr>
          <w:rFonts w:hint="eastAsia" w:ascii="宋体" w:hAnsi="宋体" w:eastAsia="宋体" w:cs="宋体"/>
          <w:color w:val="auto"/>
          <w:sz w:val="21"/>
          <w:szCs w:val="21"/>
        </w:rPr>
      </w:pPr>
      <w:r>
        <w:rPr>
          <w:rFonts w:hint="eastAsia" w:ascii="宋体" w:hAnsi="宋体" w:eastAsia="宋体" w:cs="宋体"/>
          <w:color w:val="auto"/>
          <w:sz w:val="21"/>
          <w:szCs w:val="21"/>
        </w:rPr>
        <w:t>若用户需求中含有《节能产品政府采购品目清单》中的政府强制采购产品，投标人应根据要求提供所对应的节能产品，否则做投标无效处理。</w:t>
      </w:r>
    </w:p>
    <w:p>
      <w:pPr>
        <w:widowControl w:val="0"/>
        <w:tabs>
          <w:tab w:val="left" w:pos="907"/>
        </w:tabs>
        <w:adjustRightInd/>
        <w:snapToGrid/>
        <w:spacing w:after="0" w:line="360" w:lineRule="exact"/>
        <w:ind w:left="567"/>
        <w:jc w:val="both"/>
        <w:rPr>
          <w:rFonts w:hint="eastAsia" w:ascii="宋体" w:hAnsi="宋体" w:eastAsia="宋体" w:cs="宋体"/>
          <w:color w:val="auto"/>
          <w:sz w:val="21"/>
          <w:szCs w:val="21"/>
        </w:rPr>
      </w:pPr>
    </w:p>
    <w:p>
      <w:pPr>
        <w:pStyle w:val="5"/>
        <w:widowControl w:val="0"/>
        <w:overflowPunct w:val="0"/>
        <w:spacing w:before="0" w:after="0" w:line="240" w:lineRule="auto"/>
        <w:rPr>
          <w:rFonts w:hint="eastAsia" w:ascii="宋体" w:hAnsi="宋体" w:eastAsia="宋体" w:cs="宋体"/>
          <w:color w:val="auto"/>
          <w:sz w:val="21"/>
          <w:szCs w:val="21"/>
        </w:rPr>
      </w:pPr>
      <w:bookmarkStart w:id="63" w:name="_Toc316375620"/>
      <w:bookmarkStart w:id="64" w:name="_Toc382049120"/>
      <w:bookmarkStart w:id="65" w:name="_Toc20328"/>
      <w:bookmarkStart w:id="66" w:name="_Toc15628"/>
      <w:r>
        <w:rPr>
          <w:rFonts w:hint="eastAsia" w:ascii="宋体" w:hAnsi="宋体" w:eastAsia="宋体" w:cs="宋体"/>
          <w:color w:val="auto"/>
          <w:sz w:val="21"/>
          <w:szCs w:val="21"/>
        </w:rPr>
        <w:t>28.纪律和保密</w:t>
      </w:r>
      <w:bookmarkEnd w:id="63"/>
      <w:r>
        <w:rPr>
          <w:rFonts w:hint="eastAsia" w:ascii="宋体" w:hAnsi="宋体" w:eastAsia="宋体" w:cs="宋体"/>
          <w:color w:val="auto"/>
          <w:sz w:val="21"/>
          <w:szCs w:val="21"/>
        </w:rPr>
        <w:t>事项</w:t>
      </w:r>
      <w:bookmarkEnd w:id="64"/>
      <w:bookmarkEnd w:id="65"/>
      <w:bookmarkEnd w:id="66"/>
    </w:p>
    <w:p>
      <w:pPr>
        <w:pStyle w:val="23"/>
        <w:widowControl w:val="0"/>
        <w:numPr>
          <w:ilvl w:val="0"/>
          <w:numId w:val="4"/>
        </w:numPr>
        <w:tabs>
          <w:tab w:val="left" w:pos="907"/>
        </w:tabs>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投标人不得串通作弊，以不正当的手段妨碍、排挤其他投标人，扰乱招标市场，破坏公平竞争原则。否则将按相关法律规定严肃处理。</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获得本招标文件的投标人，应对文件进行保密，不得用作本次投标以外的任何用途。开标后，投标人应归还招标文件中要求保密的文件和资料。</w:t>
      </w:r>
    </w:p>
    <w:p>
      <w:pPr>
        <w:rPr>
          <w:rFonts w:hint="eastAsia" w:ascii="宋体" w:hAnsi="宋体" w:eastAsia="宋体" w:cs="宋体"/>
          <w:color w:val="auto"/>
        </w:rPr>
      </w:pPr>
    </w:p>
    <w:p>
      <w:pPr>
        <w:pStyle w:val="4"/>
        <w:numPr>
          <w:ilvl w:val="0"/>
          <w:numId w:val="3"/>
        </w:numPr>
        <w:spacing w:before="0" w:after="0" w:line="480" w:lineRule="auto"/>
        <w:jc w:val="center"/>
        <w:rPr>
          <w:rFonts w:hint="eastAsia" w:ascii="宋体" w:hAnsi="宋体" w:eastAsia="宋体" w:cs="宋体"/>
          <w:color w:val="auto"/>
        </w:rPr>
      </w:pPr>
      <w:bookmarkStart w:id="67" w:name="_Toc16902"/>
      <w:r>
        <w:rPr>
          <w:rFonts w:hint="eastAsia" w:ascii="宋体" w:hAnsi="宋体" w:eastAsia="宋体" w:cs="宋体"/>
          <w:color w:val="auto"/>
        </w:rPr>
        <w:t>授予合同</w:t>
      </w:r>
      <w:bookmarkEnd w:id="67"/>
    </w:p>
    <w:p>
      <w:pPr>
        <w:pStyle w:val="5"/>
        <w:widowControl w:val="0"/>
        <w:overflowPunct w:val="0"/>
        <w:spacing w:before="0" w:after="0" w:line="240" w:lineRule="auto"/>
        <w:rPr>
          <w:rFonts w:hint="eastAsia" w:ascii="宋体" w:hAnsi="宋体" w:eastAsia="宋体" w:cs="宋体"/>
          <w:color w:val="auto"/>
          <w:sz w:val="21"/>
          <w:szCs w:val="21"/>
        </w:rPr>
      </w:pPr>
      <w:bookmarkStart w:id="68" w:name="_Toc508284011"/>
      <w:bookmarkStart w:id="69" w:name="_Toc2727"/>
      <w:r>
        <w:rPr>
          <w:rFonts w:hint="eastAsia" w:ascii="宋体" w:hAnsi="宋体" w:eastAsia="宋体" w:cs="宋体"/>
          <w:color w:val="auto"/>
          <w:sz w:val="21"/>
          <w:szCs w:val="21"/>
        </w:rPr>
        <w:t>29.合同授予标准</w:t>
      </w:r>
      <w:bookmarkEnd w:id="68"/>
      <w:bookmarkEnd w:id="69"/>
    </w:p>
    <w:p>
      <w:pPr>
        <w:pStyle w:val="23"/>
        <w:widowControl w:val="0"/>
        <w:numPr>
          <w:ilvl w:val="0"/>
          <w:numId w:val="4"/>
        </w:numPr>
        <w:tabs>
          <w:tab w:val="left" w:pos="907"/>
        </w:tabs>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根据评标委员会的评审结果，采购人按照评审报告推荐的中标候选人中按顺序依法确定中标人。</w:t>
      </w:r>
    </w:p>
    <w:p>
      <w:pPr>
        <w:rPr>
          <w:rFonts w:hint="eastAsia" w:ascii="宋体" w:hAnsi="宋体" w:eastAsia="宋体" w:cs="宋体"/>
          <w:color w:val="auto"/>
        </w:rPr>
      </w:pPr>
    </w:p>
    <w:p>
      <w:pPr>
        <w:pStyle w:val="5"/>
        <w:widowControl w:val="0"/>
        <w:overflowPunct w:val="0"/>
        <w:spacing w:before="0" w:after="0" w:line="240" w:lineRule="auto"/>
        <w:rPr>
          <w:rFonts w:hint="eastAsia" w:ascii="宋体" w:hAnsi="宋体" w:eastAsia="宋体" w:cs="宋体"/>
          <w:color w:val="auto"/>
          <w:sz w:val="21"/>
          <w:szCs w:val="21"/>
        </w:rPr>
      </w:pPr>
      <w:bookmarkStart w:id="70" w:name="_Toc24457"/>
      <w:bookmarkStart w:id="71" w:name="_Toc508284013"/>
      <w:r>
        <w:rPr>
          <w:rFonts w:hint="eastAsia" w:ascii="宋体" w:hAnsi="宋体" w:eastAsia="宋体" w:cs="宋体"/>
          <w:color w:val="auto"/>
          <w:sz w:val="21"/>
          <w:szCs w:val="21"/>
        </w:rPr>
        <w:t>30.发布中标结果</w:t>
      </w:r>
      <w:bookmarkEnd w:id="70"/>
      <w:bookmarkEnd w:id="71"/>
    </w:p>
    <w:p>
      <w:pPr>
        <w:pStyle w:val="23"/>
        <w:widowControl w:val="0"/>
        <w:numPr>
          <w:ilvl w:val="0"/>
          <w:numId w:val="4"/>
        </w:numPr>
        <w:tabs>
          <w:tab w:val="left" w:pos="907"/>
        </w:tabs>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评标委员会提出评标书面报告和推荐中标意见报采购人确认后，采购代理机构将在指定的信息发布媒体上发布公告。</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中标公告期限为1个工作日。</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《中标通知书》是合同的一个组成部分，《中标通知书》对采购人和中标人均具有同等法律效力。</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中标人为残疾人福利性单位的，采购人或者其委托的采购代理机构应当随中标、成交结果同时公告其《残疾人福利性单位声明函》，接受社会监督。</w:t>
      </w:r>
    </w:p>
    <w:p>
      <w:pPr>
        <w:rPr>
          <w:rFonts w:hint="eastAsia" w:ascii="宋体" w:hAnsi="宋体" w:eastAsia="宋体" w:cs="宋体"/>
          <w:color w:val="auto"/>
        </w:rPr>
      </w:pPr>
    </w:p>
    <w:p>
      <w:pPr>
        <w:pStyle w:val="5"/>
        <w:widowControl w:val="0"/>
        <w:overflowPunct w:val="0"/>
        <w:spacing w:before="0" w:after="0" w:line="240" w:lineRule="auto"/>
        <w:rPr>
          <w:rFonts w:hint="eastAsia" w:ascii="宋体" w:hAnsi="宋体" w:eastAsia="宋体" w:cs="宋体"/>
          <w:color w:val="auto"/>
          <w:sz w:val="21"/>
          <w:szCs w:val="21"/>
        </w:rPr>
      </w:pPr>
      <w:bookmarkStart w:id="72" w:name="_Toc29766"/>
      <w:r>
        <w:rPr>
          <w:rFonts w:hint="eastAsia" w:ascii="宋体" w:hAnsi="宋体" w:eastAsia="宋体" w:cs="宋体"/>
          <w:color w:val="auto"/>
          <w:sz w:val="21"/>
          <w:szCs w:val="21"/>
        </w:rPr>
        <w:t>31.合同的签订与履行</w:t>
      </w:r>
      <w:bookmarkEnd w:id="72"/>
    </w:p>
    <w:p>
      <w:pPr>
        <w:pStyle w:val="23"/>
        <w:widowControl w:val="0"/>
        <w:numPr>
          <w:ilvl w:val="0"/>
          <w:numId w:val="4"/>
        </w:numPr>
        <w:tabs>
          <w:tab w:val="left" w:pos="907"/>
        </w:tabs>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采购人应当自中标通知书发出之日起30日内，按照招标文件和中标人投标文件的规定，与中标人签订书面合同。所签订的合同不得对招标文件确定的事项和中标人投标文件作实质性修改。</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采购人与中标人应当根据合同的约定依法履行合同义务。</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采购合同的履行、违约责任和解决争议的方法等适用《中华人民共和国合同法》。</w:t>
      </w:r>
    </w:p>
    <w:p>
      <w:pPr>
        <w:widowControl w:val="0"/>
        <w:numPr>
          <w:ilvl w:val="1"/>
          <w:numId w:val="4"/>
        </w:numPr>
        <w:tabs>
          <w:tab w:val="left" w:pos="907"/>
        </w:tabs>
        <w:adjustRightInd/>
        <w:snapToGrid/>
        <w:spacing w:after="0" w:line="360" w:lineRule="exact"/>
        <w:jc w:val="both"/>
        <w:rPr>
          <w:rFonts w:hint="eastAsia" w:ascii="宋体" w:hAnsi="宋体" w:eastAsia="宋体" w:cs="宋体"/>
          <w:b/>
          <w:color w:val="auto"/>
          <w:sz w:val="21"/>
          <w:szCs w:val="21"/>
        </w:rPr>
      </w:pPr>
      <w:r>
        <w:rPr>
          <w:rFonts w:hint="eastAsia" w:ascii="宋体" w:hAnsi="宋体" w:eastAsia="宋体" w:cs="宋体"/>
          <w:b/>
          <w:color w:val="auto"/>
          <w:sz w:val="21"/>
          <w:szCs w:val="21"/>
        </w:rPr>
        <w:t>合同签订之日起2个工作日内，中标人</w:t>
      </w:r>
      <w:r>
        <w:rPr>
          <w:rFonts w:hint="eastAsia" w:ascii="宋体" w:hAnsi="宋体" w:eastAsia="宋体" w:cs="宋体"/>
          <w:b/>
          <w:color w:val="auto"/>
          <w:sz w:val="21"/>
          <w:szCs w:val="21"/>
          <w:lang w:eastAsia="zh-CN"/>
        </w:rPr>
        <w:t>应</w:t>
      </w:r>
      <w:r>
        <w:rPr>
          <w:rFonts w:hint="eastAsia" w:ascii="宋体" w:hAnsi="宋体" w:eastAsia="宋体" w:cs="宋体"/>
          <w:b/>
          <w:color w:val="auto"/>
          <w:sz w:val="21"/>
          <w:szCs w:val="21"/>
        </w:rPr>
        <w:t>将所签订的合同副本（加盖公章）交至</w:t>
      </w:r>
      <w:r>
        <w:rPr>
          <w:rFonts w:hint="eastAsia" w:ascii="宋体" w:hAnsi="宋体" w:eastAsia="宋体" w:cs="宋体"/>
          <w:b/>
          <w:color w:val="auto"/>
          <w:sz w:val="21"/>
          <w:szCs w:val="21"/>
          <w:lang w:eastAsia="zh-CN"/>
        </w:rPr>
        <w:t>三方诚信招标有限公司</w:t>
      </w:r>
      <w:r>
        <w:rPr>
          <w:rFonts w:hint="eastAsia" w:ascii="宋体" w:hAnsi="宋体" w:eastAsia="宋体" w:cs="宋体"/>
          <w:b/>
          <w:color w:val="auto"/>
          <w:sz w:val="21"/>
          <w:szCs w:val="21"/>
        </w:rPr>
        <w:t>东莞分公司归档。</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投标人根据招标文件的规定和采购项目的实际情况，拟在中标后将中标项目的非主体、非关键性工作分包的，应当在投标文件中载明分包承担主体，分包承担主体应当具备相应资质条件且不得再次分包。</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中标投标人在评审结束当天至合同履行结束，若因不可抗力的因素（如国家出台新法律法规等）造成投标人资质的变动，投标人应以纸质版形式通知采购人。若资质变动导致中标投标人不再具备履行合同资质要求，采购人有权中止合同。</w:t>
      </w:r>
    </w:p>
    <w:p>
      <w:pPr>
        <w:rPr>
          <w:rFonts w:hint="eastAsia" w:ascii="宋体" w:hAnsi="宋体" w:eastAsia="宋体" w:cs="宋体"/>
          <w:color w:val="auto"/>
        </w:rPr>
      </w:pPr>
    </w:p>
    <w:p>
      <w:pPr>
        <w:pStyle w:val="5"/>
        <w:widowControl w:val="0"/>
        <w:overflowPunct w:val="0"/>
        <w:spacing w:before="0" w:after="0" w:line="240" w:lineRule="auto"/>
        <w:rPr>
          <w:rFonts w:hint="eastAsia" w:ascii="宋体" w:hAnsi="宋体" w:eastAsia="宋体" w:cs="宋体"/>
          <w:color w:val="auto"/>
          <w:sz w:val="21"/>
          <w:szCs w:val="21"/>
        </w:rPr>
      </w:pPr>
      <w:bookmarkStart w:id="73" w:name="_Toc303084277"/>
      <w:bookmarkStart w:id="74" w:name="_Toc29009"/>
      <w:bookmarkStart w:id="75" w:name="_Toc23764"/>
      <w:bookmarkStart w:id="76" w:name="_Toc382049124"/>
      <w:r>
        <w:rPr>
          <w:rFonts w:hint="eastAsia" w:ascii="宋体" w:hAnsi="宋体" w:eastAsia="宋体" w:cs="宋体"/>
          <w:color w:val="auto"/>
          <w:sz w:val="21"/>
          <w:szCs w:val="21"/>
        </w:rPr>
        <w:t>32.履约保证金</w:t>
      </w:r>
      <w:bookmarkEnd w:id="73"/>
      <w:bookmarkEnd w:id="74"/>
      <w:bookmarkEnd w:id="75"/>
      <w:bookmarkEnd w:id="76"/>
    </w:p>
    <w:p>
      <w:pPr>
        <w:pStyle w:val="23"/>
        <w:widowControl w:val="0"/>
        <w:numPr>
          <w:ilvl w:val="0"/>
          <w:numId w:val="4"/>
        </w:numPr>
        <w:tabs>
          <w:tab w:val="left" w:pos="907"/>
        </w:tabs>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中标人应在领取中标通知书之后签订合同之前递交履约保证金（履约保函的提交与履约保证金的提交时间一致）。给采购人造成的损失超过投标担保数额的，还应当由其对超过部分予以赔偿，并依法追究其责任。中标人应在汇入履约保证金时在汇款单备注中注明：中标项目名称及中标项目编号。</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采用保证金（银行转帐、电汇）方式：中标人必须保证资金在签订合同前到帐。履约保证金账户采购人另行通知，到期后无息退还。</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采用履约保函方式：履约担保。是指由担保机构为供应商交纳履约保证金向采购人或采购代理机构提供的保证担保。供应商未按采购合同履行约定义务的，由担保机构按照担保函约定履行支付履约保证金的责任。</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中标人须将履约保证金的汇款凭证 (注明中标通知书或项目编号)或履约保函（采购人注明原件已收到并盖章）用A4纸复印一式四份并加盖中标人的公章送至采购代理机构。</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履约保证金退回：履约保证金在项目验收合格后，中标人向采购人提交退回履约保证金的申请、履约保证金汇款凭证复印件、采购合同、采购项目验收报告原件、中标通知书复印件，前往采购人办理履约保证金退还手续。</w:t>
      </w:r>
    </w:p>
    <w:p>
      <w:pPr>
        <w:rPr>
          <w:rFonts w:hint="eastAsia" w:ascii="宋体" w:hAnsi="宋体" w:eastAsia="宋体" w:cs="宋体"/>
          <w:color w:val="auto"/>
        </w:rPr>
      </w:pPr>
    </w:p>
    <w:p>
      <w:pPr>
        <w:pStyle w:val="4"/>
        <w:numPr>
          <w:ilvl w:val="0"/>
          <w:numId w:val="3"/>
        </w:numPr>
        <w:spacing w:before="0" w:after="0" w:line="480" w:lineRule="auto"/>
        <w:jc w:val="center"/>
        <w:rPr>
          <w:rFonts w:hint="eastAsia" w:ascii="宋体" w:hAnsi="宋体" w:eastAsia="宋体" w:cs="宋体"/>
          <w:color w:val="auto"/>
        </w:rPr>
      </w:pPr>
      <w:bookmarkStart w:id="77" w:name="_Toc19464"/>
      <w:r>
        <w:rPr>
          <w:rFonts w:hint="eastAsia" w:ascii="宋体" w:hAnsi="宋体" w:eastAsia="宋体" w:cs="宋体"/>
          <w:color w:val="auto"/>
        </w:rPr>
        <w:t>询问或质疑</w:t>
      </w:r>
      <w:bookmarkEnd w:id="77"/>
    </w:p>
    <w:p>
      <w:pPr>
        <w:pStyle w:val="5"/>
        <w:widowControl w:val="0"/>
        <w:overflowPunct w:val="0"/>
        <w:spacing w:before="0" w:after="0" w:line="240" w:lineRule="auto"/>
        <w:rPr>
          <w:rFonts w:hint="eastAsia" w:ascii="宋体" w:hAnsi="宋体" w:eastAsia="宋体" w:cs="宋体"/>
          <w:color w:val="auto"/>
          <w:sz w:val="21"/>
          <w:szCs w:val="21"/>
        </w:rPr>
      </w:pPr>
      <w:bookmarkStart w:id="78" w:name="_Toc27711"/>
      <w:r>
        <w:rPr>
          <w:rFonts w:hint="eastAsia" w:ascii="宋体" w:hAnsi="宋体" w:eastAsia="宋体" w:cs="宋体"/>
          <w:color w:val="auto"/>
          <w:sz w:val="21"/>
          <w:szCs w:val="21"/>
        </w:rPr>
        <w:t>33.询问</w:t>
      </w:r>
      <w:bookmarkEnd w:id="78"/>
    </w:p>
    <w:p>
      <w:pPr>
        <w:pStyle w:val="23"/>
        <w:widowControl w:val="0"/>
        <w:numPr>
          <w:ilvl w:val="0"/>
          <w:numId w:val="4"/>
        </w:numPr>
        <w:tabs>
          <w:tab w:val="left" w:pos="907"/>
        </w:tabs>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投标人对采购活动事项（</w:t>
      </w:r>
      <w:r>
        <w:rPr>
          <w:rFonts w:hint="eastAsia" w:ascii="宋体" w:hAnsi="宋体" w:eastAsia="宋体" w:cs="宋体"/>
          <w:color w:val="auto"/>
          <w:sz w:val="21"/>
          <w:szCs w:val="21"/>
          <w:lang w:eastAsia="zh-CN"/>
        </w:rPr>
        <w:t>招标文件</w:t>
      </w:r>
      <w:r>
        <w:rPr>
          <w:rFonts w:hint="eastAsia" w:ascii="宋体" w:hAnsi="宋体" w:eastAsia="宋体" w:cs="宋体"/>
          <w:color w:val="auto"/>
          <w:sz w:val="21"/>
          <w:szCs w:val="21"/>
        </w:rPr>
        <w:t>、采购过程和采购结果）有疑问的，可以按规定向采购代理机构提出询问。</w:t>
      </w:r>
    </w:p>
    <w:p>
      <w:pPr>
        <w:widowControl w:val="0"/>
        <w:tabs>
          <w:tab w:val="left" w:pos="907"/>
        </w:tabs>
        <w:adjustRightInd/>
        <w:snapToGrid/>
        <w:spacing w:after="0" w:line="360" w:lineRule="exact"/>
        <w:ind w:left="567"/>
        <w:jc w:val="both"/>
        <w:rPr>
          <w:rFonts w:hint="eastAsia" w:ascii="宋体" w:hAnsi="宋体" w:eastAsia="宋体" w:cs="宋体"/>
          <w:color w:val="auto"/>
          <w:sz w:val="21"/>
          <w:szCs w:val="21"/>
        </w:rPr>
      </w:pPr>
    </w:p>
    <w:p>
      <w:pPr>
        <w:pStyle w:val="5"/>
        <w:widowControl w:val="0"/>
        <w:overflowPunct w:val="0"/>
        <w:spacing w:before="0" w:after="0" w:line="240" w:lineRule="auto"/>
        <w:rPr>
          <w:rFonts w:hint="eastAsia" w:ascii="宋体" w:hAnsi="宋体" w:eastAsia="宋体" w:cs="宋体"/>
          <w:color w:val="auto"/>
          <w:sz w:val="21"/>
          <w:szCs w:val="21"/>
        </w:rPr>
      </w:pPr>
      <w:bookmarkStart w:id="79" w:name="_Toc18644"/>
      <w:r>
        <w:rPr>
          <w:rFonts w:hint="eastAsia" w:ascii="宋体" w:hAnsi="宋体" w:eastAsia="宋体" w:cs="宋体"/>
          <w:color w:val="auto"/>
          <w:sz w:val="21"/>
          <w:szCs w:val="21"/>
        </w:rPr>
        <w:t>34.质疑</w:t>
      </w:r>
      <w:bookmarkEnd w:id="79"/>
    </w:p>
    <w:p>
      <w:pPr>
        <w:pStyle w:val="23"/>
        <w:widowControl w:val="0"/>
        <w:numPr>
          <w:ilvl w:val="0"/>
          <w:numId w:val="4"/>
        </w:numPr>
        <w:tabs>
          <w:tab w:val="left" w:pos="907"/>
        </w:tabs>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提出质疑的投标人应当是参与所质疑项目采购活动的供应商或是在规定的时间内已依法获取其可质疑的</w:t>
      </w:r>
      <w:r>
        <w:rPr>
          <w:rFonts w:hint="eastAsia" w:ascii="宋体" w:hAnsi="宋体" w:eastAsia="宋体" w:cs="宋体"/>
          <w:color w:val="auto"/>
          <w:sz w:val="21"/>
          <w:szCs w:val="21"/>
          <w:lang w:eastAsia="zh-CN"/>
        </w:rPr>
        <w:t>招标文件</w:t>
      </w:r>
      <w:r>
        <w:rPr>
          <w:rFonts w:hint="eastAsia" w:ascii="宋体" w:hAnsi="宋体" w:eastAsia="宋体" w:cs="宋体"/>
          <w:color w:val="auto"/>
          <w:sz w:val="21"/>
          <w:szCs w:val="21"/>
        </w:rPr>
        <w:t>的潜在供应商。</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供应商认为</w:t>
      </w:r>
      <w:r>
        <w:rPr>
          <w:rFonts w:hint="eastAsia" w:ascii="宋体" w:hAnsi="宋体" w:eastAsia="宋体" w:cs="宋体"/>
          <w:color w:val="auto"/>
          <w:sz w:val="21"/>
          <w:szCs w:val="21"/>
          <w:lang w:eastAsia="zh-CN"/>
        </w:rPr>
        <w:t>招标文件</w:t>
      </w:r>
      <w:r>
        <w:rPr>
          <w:rFonts w:hint="eastAsia" w:ascii="宋体" w:hAnsi="宋体" w:eastAsia="宋体" w:cs="宋体"/>
          <w:color w:val="auto"/>
          <w:sz w:val="21"/>
          <w:szCs w:val="21"/>
        </w:rPr>
        <w:t>、采购过程、中标或者成交结果使自己的权益受到损害的，可以在知道或者应知其权益受到损害之日起7个工作日内，以书面形式向采购人、采购代理机构提出质疑。超过规定时间提交的质疑函不予受理。</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投标人在法定质疑期内须一次性提出针对同一采购程序环节的质疑，对同一采购程序环节的二次质疑采购代理机构不予受理。</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应将招标文件所规定的纸质版形式（质疑须提交以下资料并加盖投标人公章：质疑函原件、营业执照复印件、法人身份证复印件、联系方式及法人授权委托书原件加盖公章；若质疑由法人提交，则将提供法人授权委托书原件加盖公章更换为提供法人身份证复印件加盖公章且签字）的质疑按法律规定提交至采购代理机构指定办公地点。投标人以电话、传真或电邮形式提交的质疑属于无效质疑。</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授权委托书应当载明代理人的姓名或者名称、代理事项、具体权限、期限和相关事项。</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投标人提出质疑应当提交质疑函和必要的证明材料（须注明法律依据），因缺少相关证明材料或证明材料存在不真实而导致的后果由投标人自行承担。</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不涉及对投标人利益造成损害的相关内容，不能作为质疑内容提交。</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以联合体形式参加政府采购活动的，其质疑应当由组成联合体的所有投标人共同提出。</w:t>
      </w:r>
    </w:p>
    <w:p>
      <w:pPr>
        <w:rPr>
          <w:rFonts w:hint="eastAsia" w:ascii="宋体" w:hAnsi="宋体" w:eastAsia="宋体" w:cs="宋体"/>
          <w:color w:val="auto"/>
        </w:rPr>
      </w:pPr>
    </w:p>
    <w:p>
      <w:pPr>
        <w:pStyle w:val="4"/>
        <w:numPr>
          <w:ilvl w:val="0"/>
          <w:numId w:val="3"/>
        </w:numPr>
        <w:spacing w:before="0" w:after="0" w:line="480" w:lineRule="auto"/>
        <w:jc w:val="center"/>
        <w:rPr>
          <w:rFonts w:hint="eastAsia" w:ascii="宋体" w:hAnsi="宋体" w:eastAsia="宋体" w:cs="宋体"/>
          <w:color w:val="auto"/>
        </w:rPr>
      </w:pPr>
      <w:bookmarkStart w:id="80" w:name="_Toc10071"/>
      <w:r>
        <w:rPr>
          <w:rFonts w:hint="eastAsia" w:ascii="宋体" w:hAnsi="宋体" w:eastAsia="宋体" w:cs="宋体"/>
          <w:color w:val="auto"/>
        </w:rPr>
        <w:t>其他</w:t>
      </w:r>
      <w:bookmarkEnd w:id="80"/>
    </w:p>
    <w:p>
      <w:pPr>
        <w:pStyle w:val="5"/>
        <w:widowControl w:val="0"/>
        <w:overflowPunct w:val="0"/>
        <w:spacing w:before="0" w:after="0" w:line="240" w:lineRule="auto"/>
        <w:rPr>
          <w:rFonts w:hint="eastAsia" w:ascii="宋体" w:hAnsi="宋体" w:eastAsia="宋体" w:cs="宋体"/>
          <w:color w:val="auto"/>
          <w:sz w:val="21"/>
          <w:szCs w:val="21"/>
        </w:rPr>
      </w:pPr>
      <w:bookmarkStart w:id="81" w:name="_Toc27449"/>
      <w:r>
        <w:rPr>
          <w:rFonts w:hint="eastAsia" w:ascii="宋体" w:hAnsi="宋体" w:eastAsia="宋体" w:cs="宋体"/>
          <w:color w:val="auto"/>
          <w:sz w:val="21"/>
          <w:szCs w:val="21"/>
        </w:rPr>
        <w:t>35.招标文件的解释权</w:t>
      </w:r>
      <w:bookmarkEnd w:id="81"/>
    </w:p>
    <w:p>
      <w:pPr>
        <w:pStyle w:val="23"/>
        <w:widowControl w:val="0"/>
        <w:numPr>
          <w:ilvl w:val="0"/>
          <w:numId w:val="4"/>
        </w:numPr>
        <w:tabs>
          <w:tab w:val="left" w:pos="907"/>
        </w:tabs>
        <w:adjustRightInd/>
        <w:snapToGrid/>
        <w:spacing w:after="0" w:line="360" w:lineRule="exact"/>
        <w:ind w:firstLineChars="0"/>
        <w:jc w:val="both"/>
        <w:rPr>
          <w:rFonts w:hint="eastAsia" w:ascii="宋体" w:hAnsi="宋体" w:eastAsia="宋体" w:cs="宋体"/>
          <w:vanish/>
          <w:color w:val="auto"/>
          <w:sz w:val="21"/>
          <w:szCs w:val="21"/>
        </w:rPr>
      </w:pP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招标文件</w:t>
      </w:r>
      <w:r>
        <w:rPr>
          <w:rFonts w:hint="eastAsia" w:ascii="宋体" w:hAnsi="宋体" w:eastAsia="宋体" w:cs="宋体"/>
          <w:color w:val="auto"/>
          <w:sz w:val="21"/>
          <w:szCs w:val="21"/>
        </w:rPr>
        <w:t>版本号：三方诚信201</w:t>
      </w:r>
      <w:r>
        <w:rPr>
          <w:rFonts w:hint="eastAsia" w:ascii="宋体" w:hAnsi="宋体" w:eastAsia="宋体" w:cs="宋体"/>
          <w:color w:val="auto"/>
          <w:sz w:val="21"/>
          <w:szCs w:val="21"/>
          <w:lang w:val="en-US" w:eastAsia="zh-CN"/>
        </w:rPr>
        <w:t>90529</w:t>
      </w:r>
      <w:r>
        <w:rPr>
          <w:rFonts w:hint="eastAsia" w:ascii="宋体" w:hAnsi="宋体" w:eastAsia="宋体" w:cs="宋体"/>
          <w:color w:val="auto"/>
          <w:sz w:val="21"/>
          <w:szCs w:val="21"/>
        </w:rPr>
        <w:t>。</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本</w:t>
      </w:r>
      <w:r>
        <w:rPr>
          <w:rFonts w:hint="eastAsia" w:ascii="宋体" w:hAnsi="宋体" w:eastAsia="宋体" w:cs="宋体"/>
          <w:color w:val="auto"/>
          <w:sz w:val="21"/>
          <w:szCs w:val="21"/>
          <w:lang w:eastAsia="zh-CN"/>
        </w:rPr>
        <w:t>招标文件</w:t>
      </w:r>
      <w:r>
        <w:rPr>
          <w:rFonts w:hint="eastAsia" w:ascii="宋体" w:hAnsi="宋体" w:eastAsia="宋体" w:cs="宋体"/>
          <w:color w:val="auto"/>
          <w:sz w:val="21"/>
          <w:szCs w:val="21"/>
        </w:rPr>
        <w:t>是根据国家有关法律、法规以及政府采购管理有关规定和参照国际惯例编制，解释权属本采购代理机构。</w:t>
      </w:r>
    </w:p>
    <w:p>
      <w:pPr>
        <w:widowControl w:val="0"/>
        <w:numPr>
          <w:ilvl w:val="1"/>
          <w:numId w:val="4"/>
        </w:numPr>
        <w:tabs>
          <w:tab w:val="left" w:pos="907"/>
        </w:tabs>
        <w:adjustRightInd/>
        <w:snapToGrid/>
        <w:spacing w:after="0"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pPr>
        <w:pStyle w:val="3"/>
        <w:spacing w:before="0" w:after="0" w:line="240" w:lineRule="auto"/>
        <w:rPr>
          <w:rFonts w:hint="eastAsia" w:ascii="宋体" w:hAnsi="宋体" w:eastAsia="宋体" w:cs="宋体"/>
          <w:color w:val="auto"/>
          <w:sz w:val="28"/>
          <w:szCs w:val="28"/>
        </w:rPr>
      </w:pPr>
      <w:bookmarkStart w:id="82" w:name="_Toc3263"/>
      <w:r>
        <w:rPr>
          <w:rFonts w:hint="eastAsia" w:ascii="宋体" w:hAnsi="宋体" w:eastAsia="宋体" w:cs="宋体"/>
          <w:color w:val="auto"/>
          <w:sz w:val="28"/>
          <w:szCs w:val="28"/>
        </w:rPr>
        <w:t>第五部分 合同格式（仅供参考）</w:t>
      </w:r>
      <w:bookmarkEnd w:id="82"/>
      <w:bookmarkStart w:id="83" w:name="_Toc13430"/>
      <w:bookmarkStart w:id="84" w:name="_Toc1534"/>
      <w:bookmarkStart w:id="85" w:name="_Toc21155"/>
    </w:p>
    <w:p>
      <w:pPr>
        <w:pStyle w:val="4"/>
        <w:spacing w:before="0" w:after="0" w:line="240" w:lineRule="auto"/>
        <w:jc w:val="center"/>
        <w:rPr>
          <w:rFonts w:hint="eastAsia" w:ascii="宋体" w:hAnsi="宋体" w:eastAsia="宋体" w:cs="宋体"/>
          <w:color w:val="auto"/>
        </w:rPr>
      </w:pPr>
      <w:bookmarkStart w:id="86" w:name="_Toc32348"/>
      <w:r>
        <w:rPr>
          <w:rFonts w:hint="eastAsia" w:ascii="宋体" w:hAnsi="宋体" w:eastAsia="宋体" w:cs="宋体"/>
          <w:color w:val="auto"/>
        </w:rPr>
        <w:t>合同格式</w:t>
      </w:r>
      <w:bookmarkEnd w:id="83"/>
      <w:bookmarkEnd w:id="84"/>
      <w:bookmarkEnd w:id="85"/>
      <w:bookmarkEnd w:id="86"/>
    </w:p>
    <w:p>
      <w:pPr>
        <w:spacing w:line="420" w:lineRule="atLeast"/>
        <w:ind w:right="560"/>
        <w:rPr>
          <w:rFonts w:hint="eastAsia" w:ascii="宋体" w:hAnsi="宋体" w:eastAsia="宋体" w:cs="宋体"/>
          <w:color w:val="auto"/>
          <w:sz w:val="21"/>
          <w:szCs w:val="21"/>
        </w:rPr>
      </w:pPr>
      <w:r>
        <w:rPr>
          <w:rFonts w:hint="eastAsia" w:ascii="宋体" w:hAnsi="宋体" w:eastAsia="宋体" w:cs="宋体"/>
          <w:color w:val="auto"/>
          <w:sz w:val="21"/>
          <w:szCs w:val="21"/>
        </w:rPr>
        <w:t>合同编号：</w:t>
      </w:r>
    </w:p>
    <w:p>
      <w:pPr>
        <w:spacing w:line="420" w:lineRule="atLeast"/>
        <w:rPr>
          <w:rFonts w:hint="eastAsia" w:ascii="宋体" w:hAnsi="宋体" w:eastAsia="宋体" w:cs="宋体"/>
          <w:color w:val="auto"/>
          <w:sz w:val="21"/>
          <w:szCs w:val="21"/>
        </w:rPr>
      </w:pPr>
      <w:r>
        <w:rPr>
          <w:rFonts w:hint="eastAsia" w:ascii="宋体" w:hAnsi="宋体" w:eastAsia="宋体" w:cs="宋体"/>
          <w:color w:val="auto"/>
          <w:sz w:val="21"/>
          <w:szCs w:val="21"/>
        </w:rPr>
        <w:t>甲方：</w:t>
      </w:r>
    </w:p>
    <w:p>
      <w:pPr>
        <w:spacing w:line="420" w:lineRule="atLeast"/>
        <w:rPr>
          <w:rFonts w:hint="eastAsia" w:ascii="宋体" w:hAnsi="宋体" w:eastAsia="宋体" w:cs="宋体"/>
          <w:color w:val="auto"/>
          <w:sz w:val="21"/>
          <w:szCs w:val="21"/>
        </w:rPr>
      </w:pPr>
      <w:r>
        <w:rPr>
          <w:rFonts w:hint="eastAsia" w:ascii="宋体" w:hAnsi="宋体" w:eastAsia="宋体" w:cs="宋体"/>
          <w:color w:val="auto"/>
          <w:sz w:val="21"/>
          <w:szCs w:val="21"/>
        </w:rPr>
        <w:t xml:space="preserve">乙方：“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”为中标单位</w:t>
      </w:r>
    </w:p>
    <w:p>
      <w:pPr>
        <w:spacing w:after="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受甲方委托，</w:t>
      </w:r>
      <w:r>
        <w:rPr>
          <w:rFonts w:hint="eastAsia" w:ascii="宋体" w:hAnsi="宋体" w:eastAsia="宋体" w:cs="宋体"/>
          <w:color w:val="auto"/>
          <w:sz w:val="21"/>
          <w:szCs w:val="21"/>
          <w:u w:val="single"/>
        </w:rPr>
        <w:t xml:space="preserve">           (采购代理机构)</w:t>
      </w:r>
      <w:r>
        <w:rPr>
          <w:rFonts w:hint="eastAsia" w:ascii="宋体" w:hAnsi="宋体" w:eastAsia="宋体" w:cs="宋体"/>
          <w:color w:val="auto"/>
          <w:sz w:val="21"/>
          <w:szCs w:val="21"/>
        </w:rPr>
        <w:t>组织对</w:t>
      </w:r>
      <w:r>
        <w:rPr>
          <w:rFonts w:hint="eastAsia" w:ascii="宋体" w:hAnsi="宋体" w:eastAsia="宋体" w:cs="宋体"/>
          <w:color w:val="auto"/>
          <w:sz w:val="21"/>
          <w:szCs w:val="21"/>
          <w:u w:val="single"/>
        </w:rPr>
        <w:t xml:space="preserve">         （项目名称）</w:t>
      </w:r>
      <w:r>
        <w:rPr>
          <w:rFonts w:hint="eastAsia" w:ascii="宋体" w:hAnsi="宋体" w:eastAsia="宋体" w:cs="宋体"/>
          <w:color w:val="auto"/>
          <w:sz w:val="21"/>
          <w:szCs w:val="21"/>
        </w:rPr>
        <w:t>采购项目（</w:t>
      </w:r>
      <w:r>
        <w:rPr>
          <w:rFonts w:hint="eastAsia" w:ascii="宋体" w:hAnsi="宋体" w:eastAsia="宋体" w:cs="宋体"/>
          <w:color w:val="auto"/>
          <w:sz w:val="21"/>
          <w:szCs w:val="21"/>
          <w:lang w:eastAsia="zh-CN"/>
        </w:rPr>
        <w:t>采购项目编号</w:t>
      </w:r>
      <w:r>
        <w:rPr>
          <w:rFonts w:hint="eastAsia" w:ascii="宋体" w:hAnsi="宋体" w:eastAsia="宋体" w:cs="宋体"/>
          <w:color w:val="auto"/>
          <w:sz w:val="21"/>
          <w:szCs w:val="21"/>
        </w:rPr>
        <w:t>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）进行采购，于</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日通过公开招标，经评标委员会评定乙方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为中标单位。为了保护甲、乙双方合法权益，根据《中华人民共和国</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"http://www.chinalawedu.com/web/23251/" \t "_blank" \o "合同法" </w:instrText>
      </w:r>
      <w:r>
        <w:rPr>
          <w:rFonts w:hint="eastAsia" w:ascii="宋体" w:hAnsi="宋体" w:eastAsia="宋体" w:cs="宋体"/>
          <w:color w:val="auto"/>
        </w:rPr>
        <w:fldChar w:fldCharType="separate"/>
      </w:r>
      <w:r>
        <w:rPr>
          <w:rFonts w:hint="eastAsia" w:ascii="宋体" w:hAnsi="宋体" w:eastAsia="宋体" w:cs="宋体"/>
          <w:color w:val="auto"/>
          <w:sz w:val="21"/>
          <w:szCs w:val="21"/>
        </w:rPr>
        <w:t>合同法</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t>》，在平等自愿的基础上，按照下面的条款和条件，签署本合同。</w:t>
      </w:r>
    </w:p>
    <w:p>
      <w:pPr>
        <w:spacing w:after="0"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第一条 合同项目</w:t>
      </w:r>
    </w:p>
    <w:p>
      <w:pPr>
        <w:spacing w:after="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1、项目名称：                              ；</w:t>
      </w:r>
    </w:p>
    <w:p>
      <w:pPr>
        <w:spacing w:after="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eastAsia="zh-CN"/>
        </w:rPr>
        <w:t>采购项目编号</w:t>
      </w:r>
      <w:r>
        <w:rPr>
          <w:rFonts w:hint="eastAsia" w:ascii="宋体" w:hAnsi="宋体" w:eastAsia="宋体" w:cs="宋体"/>
          <w:color w:val="auto"/>
          <w:sz w:val="21"/>
          <w:szCs w:val="21"/>
        </w:rPr>
        <w:t>：                   。</w:t>
      </w:r>
    </w:p>
    <w:p>
      <w:pPr>
        <w:spacing w:after="0"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第二条 合同组成</w:t>
      </w:r>
    </w:p>
    <w:p>
      <w:pPr>
        <w:spacing w:after="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1、合同文件组成内容包括：本合同书 、中标通知书、投标文件（含澄清内容）、招标文件（含招标文件澄清通知）等。</w:t>
      </w:r>
    </w:p>
    <w:p>
      <w:pPr>
        <w:spacing w:after="0" w:line="360" w:lineRule="auto"/>
        <w:ind w:firstLine="422" w:firstLineChars="200"/>
        <w:rPr>
          <w:rFonts w:hint="eastAsia" w:ascii="宋体" w:hAnsi="宋体" w:eastAsia="宋体" w:cs="宋体"/>
          <w:b/>
          <w:color w:val="auto"/>
          <w:sz w:val="21"/>
          <w:szCs w:val="21"/>
        </w:rPr>
      </w:pPr>
      <w:bookmarkStart w:id="87" w:name="_Toc86481558"/>
      <w:r>
        <w:rPr>
          <w:rFonts w:hint="eastAsia" w:ascii="宋体" w:hAnsi="宋体" w:eastAsia="宋体" w:cs="宋体"/>
          <w:b/>
          <w:color w:val="auto"/>
          <w:sz w:val="21"/>
          <w:szCs w:val="21"/>
        </w:rPr>
        <w:t>第三条 服务内容、标准及要求</w:t>
      </w:r>
    </w:p>
    <w:p>
      <w:pPr>
        <w:spacing w:after="0" w:line="360" w:lineRule="auto"/>
        <w:rPr>
          <w:rFonts w:hint="eastAsia" w:ascii="宋体" w:hAnsi="宋体" w:eastAsia="宋体" w:cs="宋体"/>
          <w:color w:val="auto"/>
          <w:sz w:val="21"/>
          <w:szCs w:val="21"/>
          <w:u w:val="single"/>
          <w:shd w:val="clear" w:color="auto" w:fill="FFFFFF"/>
        </w:rPr>
      </w:pPr>
      <w:r>
        <w:rPr>
          <w:rFonts w:hint="eastAsia" w:ascii="宋体" w:hAnsi="宋体" w:eastAsia="宋体" w:cs="宋体"/>
          <w:color w:val="auto"/>
          <w:sz w:val="21"/>
          <w:szCs w:val="21"/>
          <w:shd w:val="clear" w:color="auto" w:fill="FFFFFF"/>
        </w:rPr>
        <w:t>1、采购内容：</w:t>
      </w:r>
      <w:r>
        <w:rPr>
          <w:rFonts w:hint="eastAsia" w:ascii="宋体" w:hAnsi="宋体" w:eastAsia="宋体" w:cs="宋体"/>
          <w:color w:val="auto"/>
          <w:sz w:val="21"/>
          <w:szCs w:val="21"/>
          <w:u w:val="single"/>
          <w:shd w:val="clear" w:color="auto" w:fill="FFFFFF"/>
        </w:rPr>
        <w:t xml:space="preserve">                                                              。</w:t>
      </w:r>
    </w:p>
    <w:p>
      <w:pPr>
        <w:spacing w:after="0" w:line="360" w:lineRule="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2、采购标准：</w:t>
      </w:r>
      <w:r>
        <w:rPr>
          <w:rFonts w:hint="eastAsia" w:ascii="宋体" w:hAnsi="宋体" w:eastAsia="宋体" w:cs="宋体"/>
          <w:color w:val="auto"/>
          <w:sz w:val="21"/>
          <w:szCs w:val="21"/>
          <w:u w:val="single"/>
          <w:shd w:val="clear" w:color="auto" w:fill="FFFFFF"/>
        </w:rPr>
        <w:t xml:space="preserve">                                                              。</w:t>
      </w:r>
    </w:p>
    <w:p>
      <w:pPr>
        <w:spacing w:after="0" w:line="360" w:lineRule="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3、采购要求：</w:t>
      </w:r>
      <w:r>
        <w:rPr>
          <w:rFonts w:hint="eastAsia" w:ascii="宋体" w:hAnsi="宋体" w:eastAsia="宋体" w:cs="宋体"/>
          <w:color w:val="auto"/>
          <w:sz w:val="21"/>
          <w:szCs w:val="21"/>
          <w:u w:val="single"/>
          <w:shd w:val="clear" w:color="auto" w:fill="FFFFFF"/>
        </w:rPr>
        <w:t xml:space="preserve">                                                              。</w:t>
      </w:r>
    </w:p>
    <w:p>
      <w:pPr>
        <w:spacing w:after="0" w:line="360" w:lineRule="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4、具体采购内容采购标准及要求以招标文件用户需求书及乙方投标文件承诺条款及方案为准。</w:t>
      </w:r>
    </w:p>
    <w:p>
      <w:pPr>
        <w:spacing w:after="0"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第四条 价格</w:t>
      </w:r>
    </w:p>
    <w:p>
      <w:pPr>
        <w:spacing w:after="0" w:line="360" w:lineRule="auto"/>
        <w:ind w:firstLine="420" w:firstLineChars="200"/>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1、合同总价包含：人工费、材料费、设备使用费、各种税费、保险费及合同实施过程中的不可预见费用等全部费用，按本次招标范围及中标价一次包干，结算时不作调整。</w:t>
      </w:r>
    </w:p>
    <w:p>
      <w:pPr>
        <w:spacing w:after="0" w:line="360" w:lineRule="auto"/>
        <w:ind w:firstLine="399" w:firstLineChars="190"/>
        <w:rPr>
          <w:rFonts w:hint="eastAsia" w:ascii="宋体" w:hAnsi="宋体" w:eastAsia="宋体" w:cs="宋体"/>
          <w:color w:val="auto"/>
          <w:sz w:val="21"/>
          <w:szCs w:val="21"/>
        </w:rPr>
      </w:pPr>
      <w:r>
        <w:rPr>
          <w:rFonts w:hint="eastAsia" w:ascii="宋体" w:hAnsi="宋体" w:eastAsia="宋体" w:cs="宋体"/>
          <w:color w:val="auto"/>
          <w:sz w:val="21"/>
          <w:szCs w:val="21"/>
        </w:rPr>
        <w:t xml:space="preserve">2、合同总价：（人民币）大写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w:t>
      </w:r>
    </w:p>
    <w:p>
      <w:pPr>
        <w:spacing w:after="0" w:line="360" w:lineRule="auto"/>
        <w:ind w:firstLine="399" w:firstLineChars="190"/>
        <w:rPr>
          <w:rFonts w:hint="eastAsia" w:ascii="宋体" w:hAnsi="宋体" w:eastAsia="宋体" w:cs="宋体"/>
          <w:color w:val="auto"/>
          <w:sz w:val="21"/>
          <w:szCs w:val="21"/>
        </w:rPr>
      </w:pPr>
      <w:r>
        <w:rPr>
          <w:rFonts w:hint="eastAsia" w:ascii="宋体" w:hAnsi="宋体" w:eastAsia="宋体" w:cs="宋体"/>
          <w:color w:val="auto"/>
          <w:sz w:val="21"/>
          <w:szCs w:val="21"/>
        </w:rPr>
        <w:t>3、本合同价为固定不变价。</w:t>
      </w:r>
    </w:p>
    <w:p>
      <w:pPr>
        <w:spacing w:after="0"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第五条 服务期限及地点</w:t>
      </w:r>
    </w:p>
    <w:p>
      <w:pPr>
        <w:spacing w:after="0" w:line="360" w:lineRule="auto"/>
        <w:ind w:firstLine="495" w:firstLineChars="236"/>
        <w:rPr>
          <w:rFonts w:hint="eastAsia" w:ascii="宋体" w:hAnsi="宋体" w:eastAsia="宋体" w:cs="宋体"/>
          <w:color w:val="auto"/>
          <w:sz w:val="21"/>
          <w:szCs w:val="21"/>
        </w:rPr>
      </w:pPr>
      <w:r>
        <w:rPr>
          <w:rFonts w:hint="eastAsia" w:ascii="宋体" w:hAnsi="宋体" w:eastAsia="宋体" w:cs="宋体"/>
          <w:color w:val="auto"/>
          <w:sz w:val="21"/>
          <w:szCs w:val="21"/>
        </w:rPr>
        <w:t>1、服务期：  年，合同生效之日自       年  月  日至     年  月  日止。</w:t>
      </w:r>
    </w:p>
    <w:p>
      <w:pPr>
        <w:spacing w:after="0" w:line="360" w:lineRule="auto"/>
        <w:ind w:firstLine="495" w:firstLineChars="236"/>
        <w:rPr>
          <w:rFonts w:hint="eastAsia" w:ascii="宋体" w:hAnsi="宋体" w:eastAsia="宋体" w:cs="宋体"/>
          <w:color w:val="auto"/>
          <w:sz w:val="21"/>
          <w:szCs w:val="21"/>
        </w:rPr>
      </w:pPr>
      <w:r>
        <w:rPr>
          <w:rFonts w:hint="eastAsia" w:ascii="宋体" w:hAnsi="宋体" w:eastAsia="宋体" w:cs="宋体"/>
          <w:color w:val="auto"/>
          <w:sz w:val="21"/>
          <w:szCs w:val="21"/>
        </w:rPr>
        <w:t>2、服务地点：              或甲方指定地点。</w:t>
      </w:r>
    </w:p>
    <w:p>
      <w:pPr>
        <w:spacing w:after="0"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第六条 付款方式</w:t>
      </w:r>
    </w:p>
    <w:p>
      <w:pPr>
        <w:pStyle w:val="15"/>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1、本合同的付款方式为：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w:t>
      </w:r>
    </w:p>
    <w:p>
      <w:pPr>
        <w:pStyle w:val="15"/>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付款前乙方应向甲方提出请款申请及所需的材料和等额合格发票。本合同的经费由政府拨款，如因政策影响，拨款未能及时到位，乙方不得以此为由而不履行本合同规定的义务。否则，甲方按规定扣罚。如果乙方怠于或者拒绝提供资料或者办理手续的，则因此产生的付款迟延的责任全部由乙方承担。</w:t>
      </w:r>
    </w:p>
    <w:p>
      <w:pPr>
        <w:spacing w:after="0"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第七条 验收方式</w:t>
      </w:r>
    </w:p>
    <w:p>
      <w:pPr>
        <w:pStyle w:val="15"/>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1、验收应在甲乙双方共同参加下进行，依据招标文件及本合同的有关规定制定的方案进行验收，并按国家有关规定、规范进行。</w:t>
      </w:r>
    </w:p>
    <w:p>
      <w:pPr>
        <w:pStyle w:val="15"/>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2、甲方组织项目验收小组按国家有关规定、规范进行验收，必要时邀请相关专业人员或机构参与验收。</w:t>
      </w:r>
    </w:p>
    <w:p>
      <w:pPr>
        <w:pStyle w:val="15"/>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3、对验收不合格的部分，乙方应在甲方规定时间内及时整改完善直至合格。</w:t>
      </w:r>
    </w:p>
    <w:p>
      <w:pPr>
        <w:spacing w:after="0"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第八条 税和关税</w:t>
      </w:r>
    </w:p>
    <w:p>
      <w:pPr>
        <w:pStyle w:val="15"/>
        <w:spacing w:line="360" w:lineRule="auto"/>
        <w:ind w:firstLine="482"/>
        <w:rPr>
          <w:rFonts w:hint="eastAsia" w:ascii="宋体" w:hAnsi="宋体" w:eastAsia="宋体" w:cs="宋体"/>
          <w:color w:val="auto"/>
          <w:sz w:val="21"/>
          <w:szCs w:val="21"/>
        </w:rPr>
      </w:pPr>
      <w:r>
        <w:rPr>
          <w:rFonts w:hint="eastAsia" w:ascii="宋体" w:hAnsi="宋体" w:eastAsia="宋体" w:cs="宋体"/>
          <w:color w:val="auto"/>
          <w:sz w:val="21"/>
          <w:szCs w:val="21"/>
        </w:rPr>
        <w:t>1、中国政府根据现行税法对甲方征收的与本合同有关的一切税费均应由甲方承担。</w:t>
      </w:r>
    </w:p>
    <w:p>
      <w:pPr>
        <w:pStyle w:val="15"/>
        <w:spacing w:line="360" w:lineRule="auto"/>
        <w:ind w:firstLine="482"/>
        <w:rPr>
          <w:rFonts w:hint="eastAsia" w:ascii="宋体" w:hAnsi="宋体" w:eastAsia="宋体" w:cs="宋体"/>
          <w:color w:val="auto"/>
          <w:sz w:val="21"/>
          <w:szCs w:val="21"/>
        </w:rPr>
      </w:pPr>
      <w:r>
        <w:rPr>
          <w:rFonts w:hint="eastAsia" w:ascii="宋体" w:hAnsi="宋体" w:eastAsia="宋体" w:cs="宋体"/>
          <w:color w:val="auto"/>
          <w:sz w:val="21"/>
          <w:szCs w:val="21"/>
        </w:rPr>
        <w:t>2、中国政府根据现行税法规定对乙方或其雇员征收的与本合同有关的一切税费应由乙方承担。</w:t>
      </w:r>
    </w:p>
    <w:p>
      <w:pPr>
        <w:pStyle w:val="15"/>
        <w:spacing w:line="360" w:lineRule="auto"/>
        <w:ind w:firstLine="482"/>
        <w:rPr>
          <w:rFonts w:hint="eastAsia" w:ascii="宋体" w:hAnsi="宋体" w:eastAsia="宋体" w:cs="宋体"/>
          <w:color w:val="auto"/>
          <w:sz w:val="21"/>
          <w:szCs w:val="21"/>
        </w:rPr>
      </w:pPr>
      <w:r>
        <w:rPr>
          <w:rFonts w:hint="eastAsia" w:ascii="宋体" w:hAnsi="宋体" w:eastAsia="宋体" w:cs="宋体"/>
          <w:color w:val="auto"/>
          <w:sz w:val="21"/>
          <w:szCs w:val="21"/>
        </w:rPr>
        <w:t>3、在中国境外发生的与本合同执行有关的一切税费均应由乙方承担。</w:t>
      </w:r>
    </w:p>
    <w:p>
      <w:pPr>
        <w:spacing w:after="0"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第九条 其它约定</w:t>
      </w:r>
    </w:p>
    <w:p>
      <w:pPr>
        <w:spacing w:after="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1、严禁转包，未经甲方书面同意不得分包。</w:t>
      </w:r>
    </w:p>
    <w:p>
      <w:pPr>
        <w:spacing w:after="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2、乙方全部工作人员，须符合东莞市政府用工标准要求。</w:t>
      </w:r>
    </w:p>
    <w:p>
      <w:pPr>
        <w:spacing w:after="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3、乙方服务人员进行服务期间的过失或故意行为，造成甲方经济损失的，由乙方负责赔偿。</w:t>
      </w:r>
    </w:p>
    <w:p>
      <w:pPr>
        <w:spacing w:after="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4、服务人员的劳动关系隶属乙方，乙方负责服务人员的工资、节假日和超时加班补助费、社会保险、住宿、伙食等。</w:t>
      </w:r>
    </w:p>
    <w:p>
      <w:pPr>
        <w:spacing w:after="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5、乙方负责本项目服务人员购买因意外身故或伤残和因意外事故住院治疗保险，并负责办理一切保险赔偿手续。</w:t>
      </w:r>
    </w:p>
    <w:p>
      <w:pPr>
        <w:spacing w:after="0"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第十条 违约责任</w:t>
      </w:r>
    </w:p>
    <w:p>
      <w:pPr>
        <w:spacing w:after="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1、合同双方任何一方不履行合同条款或不按合同约定履行条款的其它情况，均属违约，由违约方承担违约责任，赔偿因其违约造成的损失，并支付合同价款总额</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%的违约金。</w:t>
      </w:r>
    </w:p>
    <w:p>
      <w:pPr>
        <w:spacing w:after="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2、由于乙方的原因，导致双方签订的合同终止，乙方因此而遭受的损失，将由乙方独立承担，甲方对此不负任何责任，也不作任何赔偿。</w:t>
      </w:r>
    </w:p>
    <w:bookmarkEnd w:id="87"/>
    <w:p>
      <w:pPr>
        <w:spacing w:after="0" w:line="360" w:lineRule="auto"/>
        <w:ind w:firstLine="422" w:firstLineChars="200"/>
        <w:rPr>
          <w:rFonts w:hint="eastAsia" w:ascii="宋体" w:hAnsi="宋体" w:eastAsia="宋体" w:cs="宋体"/>
          <w:b/>
          <w:color w:val="auto"/>
          <w:sz w:val="21"/>
          <w:szCs w:val="21"/>
        </w:rPr>
      </w:pPr>
      <w:bookmarkStart w:id="88" w:name="_Toc86481570"/>
      <w:r>
        <w:rPr>
          <w:rFonts w:hint="eastAsia" w:ascii="宋体" w:hAnsi="宋体" w:eastAsia="宋体" w:cs="宋体"/>
          <w:b/>
          <w:color w:val="auto"/>
          <w:sz w:val="21"/>
          <w:szCs w:val="21"/>
        </w:rPr>
        <w:t>第十一条 争议的解决</w:t>
      </w:r>
    </w:p>
    <w:p>
      <w:pPr>
        <w:spacing w:after="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1、凡与本合同有关而引起的一切争议，甲乙双方应首先通过友好协商解决，如经协商后仍不能达成协议时，任何一方可以向法院提出诉讼。</w:t>
      </w:r>
    </w:p>
    <w:p>
      <w:pPr>
        <w:spacing w:after="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2、本合同发生的诉讼管辖地为东莞市有管辖权的法院。</w:t>
      </w:r>
    </w:p>
    <w:p>
      <w:pPr>
        <w:spacing w:after="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3、在进行法院审理期间，除提交法院审理的事项外，合同其他部分仍继续履行。</w:t>
      </w:r>
    </w:p>
    <w:p>
      <w:pPr>
        <w:spacing w:after="0" w:line="360" w:lineRule="auto"/>
        <w:ind w:firstLine="420" w:firstLineChars="200"/>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rPr>
        <w:t>4、本合同按照中华人民共和国的法律进行解释</w:t>
      </w:r>
      <w:r>
        <w:rPr>
          <w:rFonts w:hint="eastAsia" w:ascii="宋体" w:hAnsi="宋体" w:eastAsia="宋体" w:cs="宋体"/>
          <w:color w:val="auto"/>
          <w:sz w:val="21"/>
          <w:szCs w:val="21"/>
          <w:shd w:val="clear" w:color="auto" w:fill="FFFFFF"/>
        </w:rPr>
        <w:t>。</w:t>
      </w:r>
    </w:p>
    <w:p>
      <w:pPr>
        <w:spacing w:after="0" w:line="360" w:lineRule="auto"/>
        <w:ind w:firstLine="422" w:firstLineChars="200"/>
        <w:rPr>
          <w:rFonts w:hint="eastAsia" w:ascii="宋体" w:hAnsi="宋体" w:eastAsia="宋体" w:cs="宋体"/>
          <w:b/>
          <w:color w:val="auto"/>
          <w:sz w:val="21"/>
          <w:szCs w:val="21"/>
        </w:rPr>
      </w:pPr>
      <w:bookmarkStart w:id="89" w:name="_Toc86481569"/>
      <w:r>
        <w:rPr>
          <w:rFonts w:hint="eastAsia" w:ascii="宋体" w:hAnsi="宋体" w:eastAsia="宋体" w:cs="宋体"/>
          <w:b/>
          <w:color w:val="auto"/>
          <w:sz w:val="21"/>
          <w:szCs w:val="21"/>
        </w:rPr>
        <w:t>第十二条 合同生效</w:t>
      </w:r>
      <w:bookmarkEnd w:id="89"/>
    </w:p>
    <w:p>
      <w:pPr>
        <w:spacing w:after="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1、本合同由双方法定代表人或委托代理人签字盖章后立即生效，具有同等法律效力，合同有效期随服务期结束而自然终止。</w:t>
      </w:r>
    </w:p>
    <w:p>
      <w:pPr>
        <w:spacing w:after="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2、本合同一式    份，其中甲方    份、乙方    份，采购代理机构 壹 份（须在合同签订之日起7个工作日内递交）。</w:t>
      </w:r>
    </w:p>
    <w:p>
      <w:pPr>
        <w:spacing w:after="0"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第十三条 其它</w:t>
      </w:r>
      <w:bookmarkEnd w:id="88"/>
    </w:p>
    <w:p>
      <w:pPr>
        <w:spacing w:after="0" w:line="360" w:lineRule="auto"/>
        <w:ind w:firstLine="399" w:firstLineChars="190"/>
        <w:rPr>
          <w:rFonts w:hint="eastAsia" w:ascii="宋体" w:hAnsi="宋体" w:eastAsia="宋体" w:cs="宋体"/>
          <w:color w:val="auto"/>
          <w:sz w:val="21"/>
          <w:szCs w:val="21"/>
        </w:rPr>
      </w:pPr>
      <w:r>
        <w:rPr>
          <w:rFonts w:hint="eastAsia" w:ascii="宋体" w:hAnsi="宋体" w:eastAsia="宋体" w:cs="宋体"/>
          <w:color w:val="auto"/>
          <w:sz w:val="21"/>
          <w:szCs w:val="21"/>
        </w:rPr>
        <w:t>1、本合同未尽事宜，双方可签订补充合同，补充合同与所有附件均为合同的有效组成部分，与本合同具有同等法律效力。</w:t>
      </w:r>
    </w:p>
    <w:p>
      <w:pPr>
        <w:spacing w:after="0" w:line="360" w:lineRule="auto"/>
        <w:ind w:firstLine="399" w:firstLineChars="190"/>
        <w:rPr>
          <w:rFonts w:hint="eastAsia" w:ascii="宋体" w:hAnsi="宋体" w:eastAsia="宋体" w:cs="宋体"/>
          <w:color w:val="auto"/>
          <w:sz w:val="21"/>
          <w:szCs w:val="21"/>
        </w:rPr>
      </w:pPr>
      <w:r>
        <w:rPr>
          <w:rFonts w:hint="eastAsia" w:ascii="宋体" w:hAnsi="宋体" w:eastAsia="宋体" w:cs="宋体"/>
          <w:color w:val="auto"/>
          <w:sz w:val="21"/>
          <w:szCs w:val="21"/>
        </w:rPr>
        <w:t>2、在执行本合同的过程中，所有经甲乙双方签署确认的文件（包括会议纪要、补充协议、往来信函、合同附件等）即成为本合同的有效组成部分，其生效日期为双方签字盖章或确认之日期。</w:t>
      </w:r>
    </w:p>
    <w:p>
      <w:pPr>
        <w:spacing w:after="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本合同合计   页A4纸张，缺页之合同为无效合同。</w:t>
      </w:r>
    </w:p>
    <w:p>
      <w:p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甲方（盖章）：                      乙方（盖章）：</w:t>
      </w:r>
    </w:p>
    <w:p>
      <w:p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法定代表(签字)：                   法定代表(签字)：</w:t>
      </w:r>
    </w:p>
    <w:p>
      <w:p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地址：                             地址： </w:t>
      </w:r>
    </w:p>
    <w:p>
      <w:p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电话：                             电话：</w:t>
      </w:r>
    </w:p>
    <w:p>
      <w:p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传真：</w:t>
      </w:r>
      <w:r>
        <w:rPr>
          <w:rFonts w:hint="eastAsia" w:ascii="宋体" w:hAnsi="宋体" w:eastAsia="宋体" w:cs="宋体"/>
          <w:color w:val="auto"/>
          <w:sz w:val="21"/>
          <w:szCs w:val="21"/>
        </w:rPr>
        <w:tab/>
      </w:r>
      <w:r>
        <w:rPr>
          <w:rFonts w:hint="eastAsia" w:ascii="宋体" w:hAnsi="宋体" w:eastAsia="宋体" w:cs="宋体"/>
          <w:color w:val="auto"/>
          <w:sz w:val="21"/>
          <w:szCs w:val="21"/>
        </w:rPr>
        <w:tab/>
      </w:r>
      <w:r>
        <w:rPr>
          <w:rFonts w:hint="eastAsia" w:ascii="宋体" w:hAnsi="宋体" w:eastAsia="宋体" w:cs="宋体"/>
          <w:color w:val="auto"/>
          <w:sz w:val="21"/>
          <w:szCs w:val="21"/>
        </w:rPr>
        <w:tab/>
      </w:r>
      <w:r>
        <w:rPr>
          <w:rFonts w:hint="eastAsia" w:ascii="宋体" w:hAnsi="宋体" w:eastAsia="宋体" w:cs="宋体"/>
          <w:color w:val="auto"/>
          <w:sz w:val="21"/>
          <w:szCs w:val="21"/>
        </w:rPr>
        <w:tab/>
      </w:r>
      <w:r>
        <w:rPr>
          <w:rFonts w:hint="eastAsia" w:ascii="宋体" w:hAnsi="宋体" w:eastAsia="宋体" w:cs="宋体"/>
          <w:color w:val="auto"/>
          <w:sz w:val="21"/>
          <w:szCs w:val="21"/>
        </w:rPr>
        <w:tab/>
      </w:r>
      <w:r>
        <w:rPr>
          <w:rFonts w:hint="eastAsia" w:ascii="宋体" w:hAnsi="宋体" w:eastAsia="宋体" w:cs="宋体"/>
          <w:color w:val="auto"/>
          <w:sz w:val="21"/>
          <w:szCs w:val="21"/>
        </w:rPr>
        <w:t>传真：</w:t>
      </w:r>
    </w:p>
    <w:p>
      <w:p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开户银行：</w:t>
      </w:r>
      <w:r>
        <w:rPr>
          <w:rFonts w:hint="eastAsia" w:ascii="宋体" w:hAnsi="宋体" w:eastAsia="宋体" w:cs="宋体"/>
          <w:color w:val="auto"/>
          <w:sz w:val="21"/>
          <w:szCs w:val="21"/>
        </w:rPr>
        <w:tab/>
      </w:r>
      <w:r>
        <w:rPr>
          <w:rFonts w:hint="eastAsia" w:ascii="宋体" w:hAnsi="宋体" w:eastAsia="宋体" w:cs="宋体"/>
          <w:color w:val="auto"/>
          <w:sz w:val="21"/>
          <w:szCs w:val="21"/>
        </w:rPr>
        <w:t xml:space="preserve">                     开户银行：</w:t>
      </w:r>
    </w:p>
    <w:p>
      <w:p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账号：                             账号：</w:t>
      </w:r>
    </w:p>
    <w:p>
      <w:p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签约时间：</w:t>
      </w:r>
    </w:p>
    <w:p>
      <w:p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签约地点：</w:t>
      </w:r>
    </w:p>
    <w:p>
      <w:pPr>
        <w:rPr>
          <w:rFonts w:hint="eastAsia" w:ascii="宋体" w:hAnsi="宋体" w:eastAsia="宋体" w:cs="宋体"/>
          <w:b/>
          <w:color w:val="auto"/>
          <w:sz w:val="21"/>
          <w:szCs w:val="21"/>
        </w:rPr>
      </w:pPr>
      <w:r>
        <w:rPr>
          <w:rFonts w:hint="eastAsia" w:ascii="宋体" w:hAnsi="宋体" w:eastAsia="宋体" w:cs="宋体"/>
          <w:b/>
          <w:color w:val="auto"/>
          <w:sz w:val="21"/>
          <w:szCs w:val="21"/>
        </w:rPr>
        <w:t>此仅为合同书样本，中标人需根据实际情况和甲方签订相应的合同！</w:t>
      </w:r>
    </w:p>
    <w:p>
      <w:pPr>
        <w:rPr>
          <w:rFonts w:hint="eastAsia" w:ascii="宋体" w:hAnsi="宋体" w:eastAsia="宋体" w:cs="宋体"/>
          <w:b/>
          <w:color w:val="auto"/>
          <w:sz w:val="21"/>
          <w:szCs w:val="21"/>
        </w:rPr>
      </w:pPr>
      <w:r>
        <w:rPr>
          <w:rFonts w:hint="eastAsia" w:ascii="宋体" w:hAnsi="宋体" w:eastAsia="宋体" w:cs="宋体"/>
          <w:b/>
          <w:color w:val="auto"/>
          <w:sz w:val="21"/>
          <w:szCs w:val="21"/>
        </w:rPr>
        <w:br w:type="page"/>
      </w:r>
    </w:p>
    <w:p>
      <w:pPr>
        <w:pStyle w:val="3"/>
        <w:spacing w:before="0" w:after="0" w:line="240" w:lineRule="auto"/>
        <w:rPr>
          <w:rFonts w:hint="eastAsia" w:ascii="宋体" w:hAnsi="宋体" w:eastAsia="宋体" w:cs="宋体"/>
          <w:color w:val="auto"/>
          <w:sz w:val="28"/>
          <w:szCs w:val="28"/>
        </w:rPr>
      </w:pPr>
      <w:bookmarkStart w:id="90" w:name="_Toc3566"/>
      <w:r>
        <w:rPr>
          <w:rFonts w:hint="eastAsia" w:ascii="宋体" w:hAnsi="宋体" w:eastAsia="宋体" w:cs="宋体"/>
          <w:color w:val="auto"/>
          <w:sz w:val="28"/>
          <w:szCs w:val="28"/>
        </w:rPr>
        <w:t>第六部分  附件－投标文件格式</w:t>
      </w:r>
      <w:bookmarkEnd w:id="90"/>
    </w:p>
    <w:p>
      <w:pPr>
        <w:rPr>
          <w:rFonts w:hint="eastAsia" w:ascii="宋体" w:hAnsi="宋体" w:eastAsia="宋体" w:cs="宋体"/>
          <w:color w:val="auto"/>
        </w:rPr>
      </w:pPr>
    </w:p>
    <w:p>
      <w:pPr>
        <w:pStyle w:val="5"/>
        <w:widowControl w:val="0"/>
        <w:overflowPunct w:val="0"/>
        <w:spacing w:before="0" w:after="0" w:line="240" w:lineRule="auto"/>
        <w:rPr>
          <w:rFonts w:hint="eastAsia" w:ascii="宋体" w:hAnsi="宋体" w:eastAsia="宋体" w:cs="宋体"/>
          <w:color w:val="auto"/>
          <w:sz w:val="21"/>
          <w:szCs w:val="21"/>
        </w:rPr>
      </w:pPr>
      <w:bookmarkStart w:id="91" w:name="_Toc15661"/>
      <w:r>
        <w:rPr>
          <w:rFonts w:hint="eastAsia" w:ascii="宋体" w:hAnsi="宋体" w:eastAsia="宋体" w:cs="宋体"/>
          <w:color w:val="auto"/>
          <w:sz w:val="21"/>
          <w:szCs w:val="21"/>
        </w:rPr>
        <w:t>附件1.投标文件目录</w:t>
      </w:r>
      <w:bookmarkEnd w:id="91"/>
    </w:p>
    <w:p>
      <w:pPr>
        <w:jc w:val="center"/>
        <w:rPr>
          <w:rFonts w:hint="eastAsia" w:ascii="宋体" w:hAnsi="宋体" w:eastAsia="宋体" w:cs="宋体"/>
          <w:color w:val="auto"/>
          <w:sz w:val="32"/>
          <w:szCs w:val="32"/>
        </w:rPr>
      </w:pPr>
    </w:p>
    <w:p>
      <w:pPr>
        <w:jc w:val="center"/>
        <w:rPr>
          <w:rFonts w:hint="eastAsia" w:ascii="宋体" w:hAnsi="宋体" w:eastAsia="宋体" w:cs="宋体"/>
          <w:color w:val="auto"/>
          <w:sz w:val="32"/>
          <w:szCs w:val="32"/>
        </w:rPr>
      </w:pPr>
      <w:r>
        <w:rPr>
          <w:rFonts w:hint="eastAsia" w:ascii="宋体" w:hAnsi="宋体" w:eastAsia="宋体" w:cs="宋体"/>
          <w:color w:val="auto"/>
          <w:sz w:val="32"/>
          <w:szCs w:val="32"/>
        </w:rPr>
        <w:t>目录</w:t>
      </w:r>
    </w:p>
    <w:p>
      <w:pPr>
        <w:adjustRightInd/>
        <w:snapToGrid/>
        <w:spacing w:line="276" w:lineRule="auto"/>
        <w:rPr>
          <w:rFonts w:hint="eastAsia" w:ascii="宋体" w:hAnsi="宋体" w:eastAsia="宋体" w:cs="宋体"/>
          <w:color w:val="auto"/>
          <w:sz w:val="21"/>
          <w:szCs w:val="21"/>
        </w:rPr>
      </w:pPr>
      <w:r>
        <w:rPr>
          <w:rFonts w:hint="eastAsia" w:ascii="宋体" w:hAnsi="宋体" w:eastAsia="宋体" w:cs="宋体"/>
          <w:color w:val="auto"/>
          <w:sz w:val="21"/>
          <w:szCs w:val="21"/>
        </w:rPr>
        <w:t>格式自理。</w:t>
      </w:r>
    </w:p>
    <w:p>
      <w:pPr>
        <w:adjustRightInd/>
        <w:snapToGrid/>
        <w:spacing w:line="276" w:lineRule="auto"/>
        <w:rPr>
          <w:rFonts w:hint="eastAsia" w:ascii="宋体" w:hAnsi="宋体" w:eastAsia="宋体" w:cs="宋体"/>
          <w:color w:val="auto"/>
          <w:sz w:val="21"/>
          <w:szCs w:val="21"/>
        </w:rPr>
      </w:pPr>
    </w:p>
    <w:p>
      <w:pPr>
        <w:adjustRightInd/>
        <w:snapToGrid/>
        <w:spacing w:line="276" w:lineRule="auto"/>
        <w:rPr>
          <w:rFonts w:hint="eastAsia" w:ascii="宋体" w:hAnsi="宋体" w:eastAsia="宋体" w:cs="宋体"/>
          <w:color w:val="auto"/>
          <w:sz w:val="21"/>
          <w:szCs w:val="21"/>
        </w:rPr>
      </w:pPr>
    </w:p>
    <w:p>
      <w:pPr>
        <w:adjustRightInd/>
        <w:snapToGrid/>
        <w:spacing w:line="276" w:lineRule="auto"/>
        <w:rPr>
          <w:rFonts w:hint="eastAsia" w:ascii="宋体" w:hAnsi="宋体" w:eastAsia="宋体" w:cs="宋体"/>
          <w:color w:val="auto"/>
          <w:sz w:val="21"/>
          <w:szCs w:val="21"/>
        </w:rPr>
      </w:pPr>
      <w:r>
        <w:rPr>
          <w:rFonts w:hint="eastAsia" w:ascii="宋体" w:hAnsi="宋体" w:eastAsia="宋体" w:cs="宋体"/>
          <w:color w:val="auto"/>
          <w:sz w:val="21"/>
          <w:szCs w:val="21"/>
        </w:rPr>
        <w:t>注：</w:t>
      </w:r>
    </w:p>
    <w:p>
      <w:pPr>
        <w:adjustRightInd/>
        <w:snapToGrid/>
        <w:spacing w:line="276" w:lineRule="auto"/>
        <w:rPr>
          <w:rFonts w:hint="eastAsia" w:ascii="宋体" w:hAnsi="宋体" w:eastAsia="宋体" w:cs="宋体"/>
          <w:color w:val="auto"/>
          <w:sz w:val="21"/>
          <w:szCs w:val="21"/>
        </w:rPr>
      </w:pPr>
      <w:r>
        <w:rPr>
          <w:rFonts w:hint="eastAsia" w:ascii="宋体" w:hAnsi="宋体" w:eastAsia="宋体" w:cs="宋体"/>
          <w:color w:val="auto"/>
          <w:sz w:val="21"/>
          <w:szCs w:val="21"/>
        </w:rPr>
        <w:t>1、投标人制作的投标文件应当具备目录。</w:t>
      </w:r>
      <w:r>
        <w:rPr>
          <w:rFonts w:hint="eastAsia" w:ascii="宋体" w:hAnsi="宋体" w:eastAsia="宋体" w:cs="宋体"/>
          <w:color w:val="auto"/>
          <w:sz w:val="21"/>
          <w:szCs w:val="21"/>
        </w:rPr>
        <w:br w:type="page"/>
      </w:r>
    </w:p>
    <w:p>
      <w:pPr>
        <w:pStyle w:val="5"/>
        <w:widowControl w:val="0"/>
        <w:overflowPunct w:val="0"/>
        <w:spacing w:before="0" w:after="0" w:line="240" w:lineRule="auto"/>
        <w:rPr>
          <w:rFonts w:hint="eastAsia" w:ascii="宋体" w:hAnsi="宋体" w:eastAsia="宋体" w:cs="宋体"/>
          <w:color w:val="auto"/>
          <w:sz w:val="21"/>
          <w:szCs w:val="21"/>
        </w:rPr>
      </w:pPr>
      <w:bookmarkStart w:id="92" w:name="_Toc13312"/>
      <w:r>
        <w:rPr>
          <w:rFonts w:hint="eastAsia" w:ascii="宋体" w:hAnsi="宋体" w:eastAsia="宋体" w:cs="宋体"/>
          <w:color w:val="auto"/>
          <w:sz w:val="21"/>
          <w:szCs w:val="21"/>
        </w:rPr>
        <w:t>附件1-1 评分标准索引表</w:t>
      </w:r>
      <w:bookmarkEnd w:id="92"/>
    </w:p>
    <w:p>
      <w:pPr>
        <w:adjustRightInd/>
        <w:snapToGrid/>
        <w:spacing w:line="276" w:lineRule="auto"/>
        <w:rPr>
          <w:rFonts w:hint="eastAsia" w:ascii="宋体" w:hAnsi="宋体" w:eastAsia="宋体" w:cs="宋体"/>
          <w:color w:val="auto"/>
          <w:sz w:val="21"/>
          <w:szCs w:val="21"/>
        </w:rPr>
      </w:pPr>
    </w:p>
    <w:p>
      <w:pPr>
        <w:jc w:val="center"/>
        <w:rPr>
          <w:rFonts w:hint="eastAsia" w:ascii="宋体" w:hAnsi="宋体" w:eastAsia="宋体" w:cs="宋体"/>
          <w:color w:val="auto"/>
          <w:sz w:val="32"/>
          <w:szCs w:val="32"/>
        </w:rPr>
      </w:pPr>
      <w:r>
        <w:rPr>
          <w:rFonts w:hint="eastAsia" w:ascii="宋体" w:hAnsi="宋体" w:eastAsia="宋体" w:cs="宋体"/>
          <w:color w:val="auto"/>
          <w:sz w:val="32"/>
          <w:szCs w:val="32"/>
        </w:rPr>
        <w:t>评分标准索引表</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704" w:type="dxa"/>
            <w:vAlign w:val="center"/>
          </w:tcPr>
          <w:p>
            <w:pPr>
              <w:spacing w:after="0"/>
              <w:jc w:val="center"/>
              <w:rPr>
                <w:rFonts w:hint="eastAsia" w:ascii="宋体" w:hAnsi="宋体" w:eastAsia="宋体" w:cs="宋体"/>
                <w:color w:val="auto"/>
              </w:rPr>
            </w:pPr>
            <w:r>
              <w:rPr>
                <w:rFonts w:hint="eastAsia" w:ascii="宋体" w:hAnsi="宋体" w:eastAsia="宋体" w:cs="宋体"/>
                <w:color w:val="auto"/>
              </w:rPr>
              <w:t>序号</w:t>
            </w:r>
          </w:p>
        </w:tc>
        <w:tc>
          <w:tcPr>
            <w:tcW w:w="1704" w:type="dxa"/>
            <w:vAlign w:val="center"/>
          </w:tcPr>
          <w:p>
            <w:pPr>
              <w:spacing w:after="0"/>
              <w:jc w:val="center"/>
              <w:rPr>
                <w:rFonts w:hint="eastAsia" w:ascii="宋体" w:hAnsi="宋体" w:eastAsia="宋体" w:cs="宋体"/>
                <w:color w:val="auto"/>
              </w:rPr>
            </w:pPr>
            <w:r>
              <w:rPr>
                <w:rFonts w:hint="eastAsia" w:ascii="宋体" w:hAnsi="宋体" w:eastAsia="宋体" w:cs="宋体"/>
                <w:color w:val="auto"/>
              </w:rPr>
              <w:t>评审项目</w:t>
            </w:r>
          </w:p>
        </w:tc>
        <w:tc>
          <w:tcPr>
            <w:tcW w:w="1704" w:type="dxa"/>
            <w:vAlign w:val="center"/>
          </w:tcPr>
          <w:p>
            <w:pPr>
              <w:spacing w:after="0"/>
              <w:jc w:val="center"/>
              <w:rPr>
                <w:rFonts w:hint="eastAsia" w:ascii="宋体" w:hAnsi="宋体" w:eastAsia="宋体" w:cs="宋体"/>
                <w:color w:val="auto"/>
              </w:rPr>
            </w:pPr>
            <w:r>
              <w:rPr>
                <w:rFonts w:hint="eastAsia" w:ascii="宋体" w:hAnsi="宋体" w:eastAsia="宋体" w:cs="宋体"/>
                <w:color w:val="auto"/>
              </w:rPr>
              <w:t>评分细则</w:t>
            </w:r>
          </w:p>
        </w:tc>
        <w:tc>
          <w:tcPr>
            <w:tcW w:w="1705" w:type="dxa"/>
            <w:vAlign w:val="center"/>
          </w:tcPr>
          <w:p>
            <w:pPr>
              <w:spacing w:after="0"/>
              <w:jc w:val="center"/>
              <w:rPr>
                <w:rFonts w:hint="eastAsia" w:ascii="宋体" w:hAnsi="宋体" w:eastAsia="宋体" w:cs="宋体"/>
                <w:color w:val="auto"/>
              </w:rPr>
            </w:pPr>
            <w:r>
              <w:rPr>
                <w:rFonts w:hint="eastAsia" w:ascii="宋体" w:hAnsi="宋体" w:eastAsia="宋体" w:cs="宋体"/>
                <w:color w:val="auto"/>
              </w:rPr>
              <w:t>分值</w:t>
            </w:r>
          </w:p>
        </w:tc>
        <w:tc>
          <w:tcPr>
            <w:tcW w:w="1705" w:type="dxa"/>
            <w:vAlign w:val="center"/>
          </w:tcPr>
          <w:p>
            <w:pPr>
              <w:spacing w:after="0"/>
              <w:jc w:val="center"/>
              <w:rPr>
                <w:rFonts w:hint="eastAsia" w:ascii="宋体" w:hAnsi="宋体" w:eastAsia="宋体" w:cs="宋体"/>
                <w:color w:val="auto"/>
              </w:rPr>
            </w:pPr>
            <w:r>
              <w:rPr>
                <w:rFonts w:hint="eastAsia" w:ascii="宋体" w:hAnsi="宋体" w:eastAsia="宋体" w:cs="宋体"/>
                <w:color w:val="auto"/>
              </w:rPr>
              <w:t>页码范围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pPr>
              <w:spacing w:after="0"/>
              <w:rPr>
                <w:rFonts w:hint="eastAsia" w:ascii="宋体" w:hAnsi="宋体" w:eastAsia="宋体" w:cs="宋体"/>
                <w:color w:val="auto"/>
              </w:rPr>
            </w:pPr>
            <w:r>
              <w:rPr>
                <w:rFonts w:hint="eastAsia" w:ascii="宋体" w:hAnsi="宋体" w:eastAsia="宋体" w:cs="宋体"/>
                <w:color w:val="auto"/>
              </w:rPr>
              <w:t>商务评审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auto"/>
              </w:rPr>
            </w:pPr>
          </w:p>
        </w:tc>
        <w:tc>
          <w:tcPr>
            <w:tcW w:w="1704" w:type="dxa"/>
            <w:vAlign w:val="center"/>
          </w:tcPr>
          <w:p>
            <w:pPr>
              <w:spacing w:after="0"/>
              <w:jc w:val="center"/>
              <w:rPr>
                <w:rFonts w:hint="eastAsia" w:ascii="宋体" w:hAnsi="宋体" w:eastAsia="宋体" w:cs="宋体"/>
                <w:color w:val="auto"/>
              </w:rPr>
            </w:pPr>
          </w:p>
        </w:tc>
        <w:tc>
          <w:tcPr>
            <w:tcW w:w="1704" w:type="dxa"/>
            <w:vAlign w:val="center"/>
          </w:tcPr>
          <w:p>
            <w:pPr>
              <w:spacing w:after="0"/>
              <w:jc w:val="center"/>
              <w:rPr>
                <w:rFonts w:hint="eastAsia" w:ascii="宋体" w:hAnsi="宋体" w:eastAsia="宋体" w:cs="宋体"/>
                <w:color w:val="auto"/>
              </w:rPr>
            </w:pPr>
          </w:p>
        </w:tc>
        <w:tc>
          <w:tcPr>
            <w:tcW w:w="1705" w:type="dxa"/>
            <w:vAlign w:val="center"/>
          </w:tcPr>
          <w:p>
            <w:pPr>
              <w:spacing w:after="0"/>
              <w:jc w:val="center"/>
              <w:rPr>
                <w:rFonts w:hint="eastAsia" w:ascii="宋体" w:hAnsi="宋体" w:eastAsia="宋体" w:cs="宋体"/>
                <w:color w:val="auto"/>
              </w:rPr>
            </w:pPr>
          </w:p>
        </w:tc>
        <w:tc>
          <w:tcPr>
            <w:tcW w:w="1705" w:type="dxa"/>
            <w:vAlign w:val="center"/>
          </w:tcPr>
          <w:p>
            <w:pPr>
              <w:spacing w:after="0"/>
              <w:jc w:val="center"/>
              <w:rPr>
                <w:rFonts w:hint="eastAsia" w:ascii="宋体" w:hAnsi="宋体" w:eastAsia="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auto"/>
              </w:rPr>
            </w:pPr>
          </w:p>
        </w:tc>
        <w:tc>
          <w:tcPr>
            <w:tcW w:w="1704" w:type="dxa"/>
            <w:vAlign w:val="center"/>
          </w:tcPr>
          <w:p>
            <w:pPr>
              <w:spacing w:after="0"/>
              <w:jc w:val="center"/>
              <w:rPr>
                <w:rFonts w:hint="eastAsia" w:ascii="宋体" w:hAnsi="宋体" w:eastAsia="宋体" w:cs="宋体"/>
                <w:color w:val="auto"/>
              </w:rPr>
            </w:pPr>
          </w:p>
        </w:tc>
        <w:tc>
          <w:tcPr>
            <w:tcW w:w="1704" w:type="dxa"/>
            <w:vAlign w:val="center"/>
          </w:tcPr>
          <w:p>
            <w:pPr>
              <w:spacing w:after="0"/>
              <w:jc w:val="center"/>
              <w:rPr>
                <w:rFonts w:hint="eastAsia" w:ascii="宋体" w:hAnsi="宋体" w:eastAsia="宋体" w:cs="宋体"/>
                <w:color w:val="auto"/>
              </w:rPr>
            </w:pPr>
          </w:p>
        </w:tc>
        <w:tc>
          <w:tcPr>
            <w:tcW w:w="1705" w:type="dxa"/>
            <w:vAlign w:val="center"/>
          </w:tcPr>
          <w:p>
            <w:pPr>
              <w:spacing w:after="0"/>
              <w:jc w:val="center"/>
              <w:rPr>
                <w:rFonts w:hint="eastAsia" w:ascii="宋体" w:hAnsi="宋体" w:eastAsia="宋体" w:cs="宋体"/>
                <w:color w:val="auto"/>
              </w:rPr>
            </w:pPr>
          </w:p>
        </w:tc>
        <w:tc>
          <w:tcPr>
            <w:tcW w:w="1705" w:type="dxa"/>
            <w:vAlign w:val="center"/>
          </w:tcPr>
          <w:p>
            <w:pPr>
              <w:spacing w:after="0"/>
              <w:jc w:val="center"/>
              <w:rPr>
                <w:rFonts w:hint="eastAsia" w:ascii="宋体" w:hAnsi="宋体" w:eastAsia="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auto"/>
              </w:rPr>
            </w:pPr>
          </w:p>
        </w:tc>
        <w:tc>
          <w:tcPr>
            <w:tcW w:w="1704" w:type="dxa"/>
            <w:vAlign w:val="center"/>
          </w:tcPr>
          <w:p>
            <w:pPr>
              <w:spacing w:after="0"/>
              <w:jc w:val="center"/>
              <w:rPr>
                <w:rFonts w:hint="eastAsia" w:ascii="宋体" w:hAnsi="宋体" w:eastAsia="宋体" w:cs="宋体"/>
                <w:color w:val="auto"/>
              </w:rPr>
            </w:pPr>
          </w:p>
        </w:tc>
        <w:tc>
          <w:tcPr>
            <w:tcW w:w="1704" w:type="dxa"/>
            <w:vAlign w:val="center"/>
          </w:tcPr>
          <w:p>
            <w:pPr>
              <w:spacing w:after="0"/>
              <w:jc w:val="center"/>
              <w:rPr>
                <w:rFonts w:hint="eastAsia" w:ascii="宋体" w:hAnsi="宋体" w:eastAsia="宋体" w:cs="宋体"/>
                <w:color w:val="auto"/>
              </w:rPr>
            </w:pPr>
          </w:p>
        </w:tc>
        <w:tc>
          <w:tcPr>
            <w:tcW w:w="1705" w:type="dxa"/>
            <w:vAlign w:val="center"/>
          </w:tcPr>
          <w:p>
            <w:pPr>
              <w:spacing w:after="0"/>
              <w:jc w:val="center"/>
              <w:rPr>
                <w:rFonts w:hint="eastAsia" w:ascii="宋体" w:hAnsi="宋体" w:eastAsia="宋体" w:cs="宋体"/>
                <w:color w:val="auto"/>
              </w:rPr>
            </w:pPr>
          </w:p>
        </w:tc>
        <w:tc>
          <w:tcPr>
            <w:tcW w:w="1705" w:type="dxa"/>
            <w:vAlign w:val="center"/>
          </w:tcPr>
          <w:p>
            <w:pPr>
              <w:spacing w:after="0"/>
              <w:jc w:val="center"/>
              <w:rPr>
                <w:rFonts w:hint="eastAsia" w:ascii="宋体" w:hAnsi="宋体" w:eastAsia="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pPr>
              <w:spacing w:after="0"/>
              <w:rPr>
                <w:rFonts w:hint="eastAsia" w:ascii="宋体" w:hAnsi="宋体" w:eastAsia="宋体" w:cs="宋体"/>
                <w:color w:val="auto"/>
              </w:rPr>
            </w:pPr>
            <w:r>
              <w:rPr>
                <w:rFonts w:hint="eastAsia" w:ascii="宋体" w:hAnsi="宋体" w:eastAsia="宋体" w:cs="宋体"/>
                <w:color w:val="auto"/>
              </w:rPr>
              <w:t>技术评审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auto"/>
              </w:rPr>
            </w:pPr>
          </w:p>
        </w:tc>
        <w:tc>
          <w:tcPr>
            <w:tcW w:w="1704" w:type="dxa"/>
            <w:vAlign w:val="center"/>
          </w:tcPr>
          <w:p>
            <w:pPr>
              <w:spacing w:after="0"/>
              <w:jc w:val="center"/>
              <w:rPr>
                <w:rFonts w:hint="eastAsia" w:ascii="宋体" w:hAnsi="宋体" w:eastAsia="宋体" w:cs="宋体"/>
                <w:color w:val="auto"/>
              </w:rPr>
            </w:pPr>
          </w:p>
        </w:tc>
        <w:tc>
          <w:tcPr>
            <w:tcW w:w="1704" w:type="dxa"/>
            <w:vAlign w:val="center"/>
          </w:tcPr>
          <w:p>
            <w:pPr>
              <w:spacing w:after="0"/>
              <w:jc w:val="center"/>
              <w:rPr>
                <w:rFonts w:hint="eastAsia" w:ascii="宋体" w:hAnsi="宋体" w:eastAsia="宋体" w:cs="宋体"/>
                <w:color w:val="auto"/>
              </w:rPr>
            </w:pPr>
          </w:p>
        </w:tc>
        <w:tc>
          <w:tcPr>
            <w:tcW w:w="1705" w:type="dxa"/>
            <w:vAlign w:val="center"/>
          </w:tcPr>
          <w:p>
            <w:pPr>
              <w:spacing w:after="0"/>
              <w:jc w:val="center"/>
              <w:rPr>
                <w:rFonts w:hint="eastAsia" w:ascii="宋体" w:hAnsi="宋体" w:eastAsia="宋体" w:cs="宋体"/>
                <w:color w:val="auto"/>
              </w:rPr>
            </w:pPr>
          </w:p>
        </w:tc>
        <w:tc>
          <w:tcPr>
            <w:tcW w:w="1705" w:type="dxa"/>
            <w:vAlign w:val="center"/>
          </w:tcPr>
          <w:p>
            <w:pPr>
              <w:spacing w:after="0"/>
              <w:jc w:val="center"/>
              <w:rPr>
                <w:rFonts w:hint="eastAsia" w:ascii="宋体" w:hAnsi="宋体" w:eastAsia="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auto"/>
              </w:rPr>
            </w:pPr>
          </w:p>
        </w:tc>
        <w:tc>
          <w:tcPr>
            <w:tcW w:w="1704" w:type="dxa"/>
            <w:vAlign w:val="center"/>
          </w:tcPr>
          <w:p>
            <w:pPr>
              <w:spacing w:after="0"/>
              <w:jc w:val="center"/>
              <w:rPr>
                <w:rFonts w:hint="eastAsia" w:ascii="宋体" w:hAnsi="宋体" w:eastAsia="宋体" w:cs="宋体"/>
                <w:color w:val="auto"/>
              </w:rPr>
            </w:pPr>
          </w:p>
        </w:tc>
        <w:tc>
          <w:tcPr>
            <w:tcW w:w="1704" w:type="dxa"/>
            <w:vAlign w:val="center"/>
          </w:tcPr>
          <w:p>
            <w:pPr>
              <w:spacing w:after="0"/>
              <w:jc w:val="center"/>
              <w:rPr>
                <w:rFonts w:hint="eastAsia" w:ascii="宋体" w:hAnsi="宋体" w:eastAsia="宋体" w:cs="宋体"/>
                <w:color w:val="auto"/>
              </w:rPr>
            </w:pPr>
          </w:p>
        </w:tc>
        <w:tc>
          <w:tcPr>
            <w:tcW w:w="1705" w:type="dxa"/>
            <w:vAlign w:val="center"/>
          </w:tcPr>
          <w:p>
            <w:pPr>
              <w:spacing w:after="0"/>
              <w:jc w:val="center"/>
              <w:rPr>
                <w:rFonts w:hint="eastAsia" w:ascii="宋体" w:hAnsi="宋体" w:eastAsia="宋体" w:cs="宋体"/>
                <w:color w:val="auto"/>
              </w:rPr>
            </w:pPr>
          </w:p>
        </w:tc>
        <w:tc>
          <w:tcPr>
            <w:tcW w:w="1705" w:type="dxa"/>
            <w:vAlign w:val="center"/>
          </w:tcPr>
          <w:p>
            <w:pPr>
              <w:spacing w:after="0"/>
              <w:jc w:val="center"/>
              <w:rPr>
                <w:rFonts w:hint="eastAsia" w:ascii="宋体" w:hAnsi="宋体" w:eastAsia="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auto"/>
              </w:rPr>
            </w:pPr>
          </w:p>
        </w:tc>
        <w:tc>
          <w:tcPr>
            <w:tcW w:w="1704" w:type="dxa"/>
            <w:vAlign w:val="center"/>
          </w:tcPr>
          <w:p>
            <w:pPr>
              <w:spacing w:after="0"/>
              <w:jc w:val="center"/>
              <w:rPr>
                <w:rFonts w:hint="eastAsia" w:ascii="宋体" w:hAnsi="宋体" w:eastAsia="宋体" w:cs="宋体"/>
                <w:color w:val="auto"/>
              </w:rPr>
            </w:pPr>
          </w:p>
        </w:tc>
        <w:tc>
          <w:tcPr>
            <w:tcW w:w="1704" w:type="dxa"/>
            <w:vAlign w:val="center"/>
          </w:tcPr>
          <w:p>
            <w:pPr>
              <w:spacing w:after="0"/>
              <w:jc w:val="center"/>
              <w:rPr>
                <w:rFonts w:hint="eastAsia" w:ascii="宋体" w:hAnsi="宋体" w:eastAsia="宋体" w:cs="宋体"/>
                <w:color w:val="auto"/>
              </w:rPr>
            </w:pPr>
          </w:p>
        </w:tc>
        <w:tc>
          <w:tcPr>
            <w:tcW w:w="1705" w:type="dxa"/>
            <w:vAlign w:val="center"/>
          </w:tcPr>
          <w:p>
            <w:pPr>
              <w:spacing w:after="0"/>
              <w:jc w:val="center"/>
              <w:rPr>
                <w:rFonts w:hint="eastAsia" w:ascii="宋体" w:hAnsi="宋体" w:eastAsia="宋体" w:cs="宋体"/>
                <w:color w:val="auto"/>
              </w:rPr>
            </w:pPr>
          </w:p>
        </w:tc>
        <w:tc>
          <w:tcPr>
            <w:tcW w:w="1705" w:type="dxa"/>
            <w:vAlign w:val="center"/>
          </w:tcPr>
          <w:p>
            <w:pPr>
              <w:spacing w:after="0"/>
              <w:jc w:val="center"/>
              <w:rPr>
                <w:rFonts w:hint="eastAsia" w:ascii="宋体" w:hAnsi="宋体" w:eastAsia="宋体" w:cs="宋体"/>
                <w:color w:val="auto"/>
              </w:rPr>
            </w:pPr>
          </w:p>
        </w:tc>
      </w:tr>
    </w:tbl>
    <w:p>
      <w:pPr>
        <w:rPr>
          <w:rFonts w:hint="eastAsia" w:ascii="宋体" w:hAnsi="宋体" w:eastAsia="宋体" w:cs="宋体"/>
          <w:color w:val="auto"/>
          <w:sz w:val="21"/>
          <w:szCs w:val="21"/>
        </w:rPr>
      </w:pPr>
    </w:p>
    <w:p>
      <w:pPr>
        <w:rPr>
          <w:rFonts w:hint="eastAsia" w:ascii="宋体" w:hAnsi="宋体" w:eastAsia="宋体" w:cs="宋体"/>
          <w:color w:val="auto"/>
          <w:sz w:val="21"/>
          <w:szCs w:val="21"/>
        </w:rPr>
      </w:pPr>
      <w:r>
        <w:rPr>
          <w:rFonts w:hint="eastAsia" w:ascii="宋体" w:hAnsi="宋体" w:eastAsia="宋体" w:cs="宋体"/>
          <w:color w:val="auto"/>
          <w:sz w:val="21"/>
          <w:szCs w:val="21"/>
        </w:rPr>
        <w:t>注：</w:t>
      </w:r>
    </w:p>
    <w:p>
      <w:pPr>
        <w:keepNext w:val="0"/>
        <w:keepLines w:val="0"/>
        <w:pageBreakBefore w:val="0"/>
        <w:widowControl/>
        <w:numPr>
          <w:ilvl w:val="0"/>
          <w:numId w:val="8"/>
        </w:numPr>
        <w:kinsoku/>
        <w:wordWrap/>
        <w:overflowPunct/>
        <w:topLinePunct w:val="0"/>
        <w:autoSpaceDE/>
        <w:autoSpaceDN/>
        <w:bidi w:val="0"/>
        <w:adjustRightInd w:val="0"/>
        <w:snapToGrid w:val="0"/>
        <w:ind w:left="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该表格为参考格式，投标人可按实际情况自行制订评分标准索引表。</w:t>
      </w:r>
    </w:p>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0"/>
        <w:textAlignment w:val="auto"/>
        <w:rPr>
          <w:rFonts w:hint="eastAsia" w:ascii="宋体" w:hAnsi="宋体" w:eastAsia="宋体" w:cs="宋体"/>
          <w:color w:val="auto"/>
        </w:rPr>
      </w:pPr>
    </w:p>
    <w:p>
      <w:pPr>
        <w:adjustRightInd/>
        <w:snapToGrid/>
        <w:spacing w:line="276" w:lineRule="auto"/>
        <w:rPr>
          <w:rFonts w:hint="eastAsia" w:ascii="宋体" w:hAnsi="宋体" w:eastAsia="宋体" w:cs="宋体"/>
          <w:color w:val="auto"/>
          <w:sz w:val="21"/>
          <w:szCs w:val="21"/>
        </w:rPr>
      </w:pPr>
    </w:p>
    <w:p>
      <w:pPr>
        <w:adjustRightInd/>
        <w:snapToGrid/>
        <w:spacing w:line="276" w:lineRule="auto"/>
        <w:rPr>
          <w:rFonts w:hint="eastAsia" w:ascii="宋体" w:hAnsi="宋体" w:eastAsia="宋体" w:cs="宋体"/>
          <w:color w:val="auto"/>
          <w:sz w:val="21"/>
          <w:szCs w:val="21"/>
        </w:rPr>
      </w:pPr>
    </w:p>
    <w:p>
      <w:pPr>
        <w:adjustRightInd/>
        <w:snapToGrid/>
        <w:spacing w:line="276" w:lineRule="auto"/>
        <w:rPr>
          <w:rFonts w:hint="eastAsia" w:ascii="宋体" w:hAnsi="宋体" w:eastAsia="宋体" w:cs="宋体"/>
          <w:color w:val="auto"/>
          <w:sz w:val="21"/>
          <w:szCs w:val="21"/>
        </w:rPr>
      </w:pPr>
    </w:p>
    <w:p>
      <w:pPr>
        <w:adjustRightInd/>
        <w:snapToGrid/>
        <w:spacing w:line="276" w:lineRule="auto"/>
        <w:rPr>
          <w:rFonts w:hint="eastAsia" w:ascii="宋体" w:hAnsi="宋体" w:eastAsia="宋体" w:cs="宋体"/>
          <w:color w:val="auto"/>
          <w:sz w:val="21"/>
          <w:szCs w:val="21"/>
        </w:rPr>
      </w:pPr>
    </w:p>
    <w:p>
      <w:pPr>
        <w:adjustRightInd/>
        <w:snapToGrid/>
        <w:spacing w:line="276" w:lineRule="auto"/>
        <w:rPr>
          <w:rFonts w:hint="eastAsia" w:ascii="宋体" w:hAnsi="宋体" w:eastAsia="宋体" w:cs="宋体"/>
          <w:color w:val="auto"/>
          <w:sz w:val="21"/>
          <w:szCs w:val="21"/>
        </w:rPr>
      </w:pPr>
    </w:p>
    <w:p>
      <w:pPr>
        <w:adjustRightInd/>
        <w:snapToGrid/>
        <w:spacing w:line="276" w:lineRule="auto"/>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pPr>
        <w:pStyle w:val="5"/>
        <w:widowControl w:val="0"/>
        <w:overflowPunct w:val="0"/>
        <w:spacing w:before="0" w:after="0" w:line="240" w:lineRule="auto"/>
        <w:rPr>
          <w:rFonts w:hint="eastAsia" w:ascii="宋体" w:hAnsi="宋体" w:eastAsia="宋体" w:cs="宋体"/>
          <w:color w:val="auto"/>
          <w:sz w:val="21"/>
          <w:szCs w:val="21"/>
        </w:rPr>
      </w:pPr>
      <w:bookmarkStart w:id="93" w:name="_Toc9857"/>
      <w:r>
        <w:rPr>
          <w:rFonts w:hint="eastAsia" w:ascii="宋体" w:hAnsi="宋体" w:eastAsia="宋体" w:cs="宋体"/>
          <w:color w:val="auto"/>
          <w:sz w:val="21"/>
          <w:szCs w:val="21"/>
        </w:rPr>
        <w:t>附件2.投标书格式</w:t>
      </w:r>
      <w:bookmarkEnd w:id="93"/>
    </w:p>
    <w:p>
      <w:pPr>
        <w:jc w:val="center"/>
        <w:rPr>
          <w:rFonts w:hint="eastAsia" w:ascii="宋体" w:hAnsi="宋体" w:eastAsia="宋体" w:cs="宋体"/>
          <w:color w:val="auto"/>
          <w:sz w:val="21"/>
          <w:szCs w:val="21"/>
        </w:rPr>
      </w:pPr>
      <w:r>
        <w:rPr>
          <w:rFonts w:hint="eastAsia" w:ascii="宋体" w:hAnsi="宋体" w:eastAsia="宋体" w:cs="宋体"/>
          <w:color w:val="auto"/>
          <w:sz w:val="32"/>
          <w:szCs w:val="32"/>
        </w:rPr>
        <w:t>投标书</w:t>
      </w:r>
    </w:p>
    <w:p>
      <w:p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致：</w:t>
      </w:r>
      <w:r>
        <w:rPr>
          <w:rFonts w:hint="eastAsia" w:ascii="宋体" w:hAnsi="宋体" w:eastAsia="宋体" w:cs="宋体"/>
          <w:color w:val="auto"/>
          <w:sz w:val="21"/>
          <w:szCs w:val="21"/>
          <w:lang w:eastAsia="zh-CN"/>
        </w:rPr>
        <w:t>三方诚信招标有限公司</w:t>
      </w:r>
      <w:r>
        <w:rPr>
          <w:rFonts w:hint="eastAsia" w:ascii="宋体" w:hAnsi="宋体" w:eastAsia="宋体" w:cs="宋体"/>
          <w:color w:val="auto"/>
          <w:sz w:val="21"/>
          <w:szCs w:val="21"/>
        </w:rPr>
        <w:t>东莞分公司：</w:t>
      </w:r>
    </w:p>
    <w:p>
      <w:pPr>
        <w:spacing w:after="0" w:line="360" w:lineRule="auto"/>
        <w:rPr>
          <w:rFonts w:hint="eastAsia" w:ascii="宋体" w:hAnsi="宋体" w:eastAsia="宋体" w:cs="宋体"/>
          <w:color w:val="auto"/>
          <w:sz w:val="21"/>
          <w:szCs w:val="21"/>
        </w:rPr>
      </w:pPr>
    </w:p>
    <w:p>
      <w:pPr>
        <w:spacing w:after="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根据贵方为</w:t>
      </w:r>
      <w:r>
        <w:rPr>
          <w:rFonts w:hint="eastAsia" w:ascii="宋体" w:hAnsi="宋体" w:eastAsia="宋体" w:cs="宋体"/>
          <w:color w:val="auto"/>
          <w:sz w:val="21"/>
          <w:szCs w:val="21"/>
          <w:u w:val="single"/>
        </w:rPr>
        <w:t>（项目名称）（</w:t>
      </w:r>
      <w:r>
        <w:rPr>
          <w:rFonts w:hint="eastAsia" w:ascii="宋体" w:hAnsi="宋体" w:eastAsia="宋体" w:cs="宋体"/>
          <w:color w:val="auto"/>
          <w:sz w:val="21"/>
          <w:szCs w:val="21"/>
          <w:u w:val="single"/>
          <w:lang w:eastAsia="zh-CN"/>
        </w:rPr>
        <w:t>采购项目编号</w:t>
      </w:r>
      <w:r>
        <w:rPr>
          <w:rFonts w:hint="eastAsia" w:ascii="宋体" w:hAnsi="宋体" w:eastAsia="宋体" w:cs="宋体"/>
          <w:color w:val="auto"/>
          <w:sz w:val="21"/>
          <w:szCs w:val="21"/>
          <w:u w:val="single"/>
        </w:rPr>
        <w:t>）</w:t>
      </w:r>
      <w:r>
        <w:rPr>
          <w:rFonts w:hint="eastAsia" w:ascii="宋体" w:hAnsi="宋体" w:eastAsia="宋体" w:cs="宋体"/>
          <w:color w:val="auto"/>
          <w:sz w:val="21"/>
          <w:szCs w:val="21"/>
        </w:rPr>
        <w:t>项目招标公告/招标邀请，签字代表</w:t>
      </w:r>
      <w:r>
        <w:rPr>
          <w:rFonts w:hint="eastAsia" w:ascii="宋体" w:hAnsi="宋体" w:eastAsia="宋体" w:cs="宋体"/>
          <w:color w:val="auto"/>
          <w:sz w:val="21"/>
          <w:szCs w:val="21"/>
          <w:u w:val="single"/>
        </w:rPr>
        <w:t>（姓名、职务）</w:t>
      </w:r>
      <w:r>
        <w:rPr>
          <w:rFonts w:hint="eastAsia" w:ascii="宋体" w:hAnsi="宋体" w:eastAsia="宋体" w:cs="宋体"/>
          <w:color w:val="auto"/>
          <w:sz w:val="21"/>
          <w:szCs w:val="21"/>
        </w:rPr>
        <w:t>经正式授权并代表投标人</w:t>
      </w:r>
      <w:r>
        <w:rPr>
          <w:rFonts w:hint="eastAsia" w:ascii="宋体" w:hAnsi="宋体" w:eastAsia="宋体" w:cs="宋体"/>
          <w:color w:val="auto"/>
          <w:sz w:val="21"/>
          <w:szCs w:val="21"/>
          <w:u w:val="single"/>
        </w:rPr>
        <w:t>（投标人名称、地址）</w:t>
      </w:r>
      <w:r>
        <w:rPr>
          <w:rFonts w:hint="eastAsia" w:ascii="宋体" w:hAnsi="宋体" w:eastAsia="宋体" w:cs="宋体"/>
          <w:color w:val="auto"/>
          <w:sz w:val="21"/>
          <w:szCs w:val="21"/>
        </w:rPr>
        <w:t>提交投标文件及“开标文件”：</w:t>
      </w:r>
    </w:p>
    <w:p>
      <w:pPr>
        <w:spacing w:after="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 xml:space="preserve">在此，签字代表宣布同意如下： </w:t>
      </w:r>
    </w:p>
    <w:p>
      <w:pPr>
        <w:widowControl w:val="0"/>
        <w:numPr>
          <w:ilvl w:val="0"/>
          <w:numId w:val="9"/>
        </w:numPr>
        <w:adjustRightInd/>
        <w:snapToGrid/>
        <w:spacing w:after="0"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 xml:space="preserve">我方将按招标文件的规定履行合同责任和义务。 </w:t>
      </w:r>
    </w:p>
    <w:p>
      <w:pPr>
        <w:widowControl w:val="0"/>
        <w:numPr>
          <w:ilvl w:val="0"/>
          <w:numId w:val="9"/>
        </w:numPr>
        <w:adjustRightInd/>
        <w:snapToGrid/>
        <w:spacing w:after="0" w:line="360" w:lineRule="auto"/>
        <w:jc w:val="both"/>
        <w:rPr>
          <w:rFonts w:hint="eastAsia" w:ascii="宋体" w:hAnsi="宋体" w:eastAsia="宋体" w:cs="宋体"/>
          <w:color w:val="auto"/>
          <w:sz w:val="21"/>
          <w:szCs w:val="21"/>
        </w:rPr>
      </w:pPr>
      <w:r>
        <w:rPr>
          <w:rFonts w:hint="eastAsia" w:ascii="宋体" w:hAnsi="宋体" w:eastAsia="宋体" w:cs="宋体"/>
          <w:b/>
          <w:color w:val="auto"/>
          <w:sz w:val="21"/>
          <w:szCs w:val="21"/>
        </w:rPr>
        <w:t>我方已完整阅读了本项目招标文件的所有内容（包括澄清，以及所有已提供的参考资料和有关附件），并完全理解上述文件所表达的意思，该项目递交投标文件时间截止后，我方承诺不再对上述文件内容进行询问或质疑。</w:t>
      </w:r>
      <w:r>
        <w:rPr>
          <w:rFonts w:hint="eastAsia" w:ascii="宋体" w:hAnsi="宋体" w:eastAsia="宋体" w:cs="宋体"/>
          <w:color w:val="auto"/>
          <w:sz w:val="21"/>
          <w:szCs w:val="21"/>
        </w:rPr>
        <w:t xml:space="preserve"> </w:t>
      </w:r>
    </w:p>
    <w:p>
      <w:pPr>
        <w:widowControl w:val="0"/>
        <w:numPr>
          <w:ilvl w:val="0"/>
          <w:numId w:val="9"/>
        </w:numPr>
        <w:adjustRightInd/>
        <w:snapToGrid/>
        <w:spacing w:after="0"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本投标有效期为自开标日起</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 xml:space="preserve">个日历日。 </w:t>
      </w:r>
    </w:p>
    <w:p>
      <w:pPr>
        <w:widowControl w:val="0"/>
        <w:numPr>
          <w:ilvl w:val="0"/>
          <w:numId w:val="9"/>
        </w:numPr>
        <w:adjustRightInd/>
        <w:snapToGrid/>
        <w:spacing w:after="0"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我方保证遵守投标人须知中关于没收投标保证金的规定。</w:t>
      </w:r>
    </w:p>
    <w:p>
      <w:pPr>
        <w:widowControl w:val="0"/>
        <w:numPr>
          <w:ilvl w:val="0"/>
          <w:numId w:val="9"/>
        </w:numPr>
        <w:adjustRightInd/>
        <w:snapToGrid/>
        <w:spacing w:after="0"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 xml:space="preserve">我方承诺，与买方聘请的为此项目提供咨询服务的公司及任何附属机构均无关联，我方不是买方的附属机构。 </w:t>
      </w:r>
    </w:p>
    <w:p>
      <w:pPr>
        <w:widowControl w:val="0"/>
        <w:numPr>
          <w:ilvl w:val="0"/>
          <w:numId w:val="9"/>
        </w:numPr>
        <w:adjustRightInd/>
        <w:snapToGrid/>
        <w:spacing w:after="0"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我方承诺，我方具备</w:t>
      </w:r>
      <w:r>
        <w:rPr>
          <w:rFonts w:hint="eastAsia" w:ascii="宋体" w:hAnsi="宋体" w:eastAsia="宋体" w:cs="宋体"/>
          <w:color w:val="auto"/>
          <w:sz w:val="21"/>
          <w:szCs w:val="21"/>
          <w:lang w:eastAsia="zh-CN"/>
        </w:rPr>
        <w:t>投标人邀请中所要求的</w:t>
      </w:r>
      <w:r>
        <w:rPr>
          <w:rFonts w:hint="eastAsia" w:ascii="宋体" w:hAnsi="宋体" w:eastAsia="宋体" w:cs="宋体"/>
          <w:color w:val="auto"/>
          <w:sz w:val="21"/>
          <w:szCs w:val="21"/>
        </w:rPr>
        <w:t>资格条件，已清楚招标文件所有要求及有关规定；并承诺参加本次采购活动中，如有违法、违规、弄虚作假行为，所造成的损失、不良后果及法律责任，一律由我方承担；</w:t>
      </w:r>
    </w:p>
    <w:p>
      <w:pPr>
        <w:widowControl w:val="0"/>
        <w:numPr>
          <w:ilvl w:val="0"/>
          <w:numId w:val="9"/>
        </w:numPr>
        <w:adjustRightInd/>
        <w:snapToGrid/>
        <w:spacing w:after="0"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我方同意提供按照贵方可能要求的与其投标有关的一切数据或资料。</w:t>
      </w:r>
    </w:p>
    <w:p>
      <w:pPr>
        <w:widowControl w:val="0"/>
        <w:numPr>
          <w:ilvl w:val="0"/>
          <w:numId w:val="9"/>
        </w:numPr>
        <w:adjustRightInd/>
        <w:snapToGrid/>
        <w:spacing w:after="0"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与本投标有关的一切正式信函请寄：</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地址：　　　　　　　　　　　　　　　　　　　传真：</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电话/移动电话：　　　　　　　　　　　　　　　电子函件：</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投标人代表签字： </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投标人名称（全称）： </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投标人盖章： </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投标人开户银行（全称）：</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投标人银行帐号：</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日期：</w:t>
      </w:r>
    </w:p>
    <w:p>
      <w:pPr>
        <w:pStyle w:val="5"/>
        <w:widowControl w:val="0"/>
        <w:overflowPunct w:val="0"/>
        <w:spacing w:before="0" w:after="0" w:line="240" w:lineRule="auto"/>
        <w:rPr>
          <w:rFonts w:hint="eastAsia" w:ascii="宋体" w:hAnsi="宋体" w:eastAsia="宋体" w:cs="宋体"/>
          <w:color w:val="auto"/>
          <w:sz w:val="21"/>
          <w:szCs w:val="21"/>
        </w:rPr>
      </w:pPr>
      <w:bookmarkStart w:id="94" w:name="_Toc23548"/>
      <w:r>
        <w:rPr>
          <w:rFonts w:hint="eastAsia" w:ascii="宋体" w:hAnsi="宋体" w:eastAsia="宋体" w:cs="宋体"/>
          <w:color w:val="auto"/>
          <w:sz w:val="21"/>
          <w:szCs w:val="21"/>
        </w:rPr>
        <w:t>附件3.开标一览表格式</w:t>
      </w:r>
      <w:bookmarkEnd w:id="94"/>
    </w:p>
    <w:p>
      <w:pPr>
        <w:jc w:val="center"/>
        <w:rPr>
          <w:rFonts w:hint="eastAsia" w:ascii="宋体" w:hAnsi="宋体" w:eastAsia="宋体" w:cs="宋体"/>
          <w:color w:val="auto"/>
          <w:sz w:val="32"/>
          <w:szCs w:val="32"/>
        </w:rPr>
      </w:pPr>
      <w:r>
        <w:rPr>
          <w:rFonts w:hint="eastAsia" w:ascii="宋体" w:hAnsi="宋体" w:eastAsia="宋体" w:cs="宋体"/>
          <w:color w:val="auto"/>
          <w:sz w:val="32"/>
          <w:szCs w:val="32"/>
        </w:rPr>
        <w:t>开标一览表</w:t>
      </w:r>
    </w:p>
    <w:p>
      <w:pPr>
        <w:spacing w:line="360" w:lineRule="auto"/>
        <w:rPr>
          <w:rFonts w:hint="eastAsia" w:ascii="宋体" w:hAnsi="宋体" w:eastAsia="宋体" w:cs="宋体"/>
          <w:color w:val="auto"/>
        </w:rPr>
      </w:pPr>
    </w:p>
    <w:p>
      <w:p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投标人名称：</w:t>
      </w:r>
    </w:p>
    <w:p>
      <w:p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采购项目编号</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w:t>
      </w:r>
    </w:p>
    <w:tbl>
      <w:tblPr>
        <w:tblStyle w:val="16"/>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4"/>
        <w:gridCol w:w="3085"/>
        <w:gridCol w:w="3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2714" w:type="dxa"/>
            <w:vAlign w:val="center"/>
          </w:tcPr>
          <w:p>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项目名称/包号</w:t>
            </w:r>
          </w:p>
        </w:tc>
        <w:tc>
          <w:tcPr>
            <w:tcW w:w="3085" w:type="dxa"/>
            <w:vAlign w:val="center"/>
          </w:tcPr>
          <w:p>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投标总价</w:t>
            </w:r>
          </w:p>
        </w:tc>
        <w:tc>
          <w:tcPr>
            <w:tcW w:w="3262" w:type="dxa"/>
            <w:vAlign w:val="center"/>
          </w:tcPr>
          <w:p>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2714" w:type="dxa"/>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hint="eastAsia" w:ascii="宋体" w:hAnsi="宋体" w:eastAsia="宋体" w:cs="宋体"/>
                <w:color w:val="auto"/>
                <w:sz w:val="21"/>
                <w:szCs w:val="21"/>
              </w:rPr>
            </w:pPr>
          </w:p>
        </w:tc>
        <w:tc>
          <w:tcPr>
            <w:tcW w:w="3085" w:type="dxa"/>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hint="eastAsia" w:ascii="宋体" w:hAnsi="宋体" w:eastAsia="宋体" w:cs="宋体"/>
                <w:color w:val="auto"/>
                <w:sz w:val="21"/>
                <w:szCs w:val="21"/>
              </w:rPr>
            </w:pPr>
          </w:p>
        </w:tc>
        <w:tc>
          <w:tcPr>
            <w:tcW w:w="3262" w:type="dxa"/>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hint="eastAsia" w:ascii="宋体" w:hAnsi="宋体" w:eastAsia="宋体" w:cs="宋体"/>
                <w:color w:val="auto"/>
                <w:sz w:val="21"/>
                <w:szCs w:val="21"/>
              </w:rPr>
            </w:pPr>
          </w:p>
        </w:tc>
      </w:tr>
    </w:tbl>
    <w:p>
      <w:pPr>
        <w:spacing w:after="0" w:line="360" w:lineRule="auto"/>
        <w:rPr>
          <w:rFonts w:hint="eastAsia" w:ascii="宋体" w:hAnsi="宋体" w:eastAsia="宋体" w:cs="宋体"/>
          <w:color w:val="auto"/>
          <w:sz w:val="21"/>
          <w:szCs w:val="21"/>
        </w:rPr>
      </w:pPr>
    </w:p>
    <w:p>
      <w:pPr>
        <w:spacing w:after="0" w:line="360" w:lineRule="auto"/>
        <w:ind w:firstLine="359" w:firstLineChars="171"/>
        <w:rPr>
          <w:rFonts w:hint="eastAsia" w:ascii="宋体" w:hAnsi="宋体" w:eastAsia="宋体" w:cs="宋体"/>
          <w:color w:val="auto"/>
          <w:sz w:val="21"/>
          <w:szCs w:val="21"/>
        </w:rPr>
      </w:pPr>
    </w:p>
    <w:p>
      <w:pPr>
        <w:spacing w:after="0" w:line="360" w:lineRule="auto"/>
        <w:ind w:firstLine="359" w:firstLineChars="171"/>
        <w:rPr>
          <w:rFonts w:hint="eastAsia" w:ascii="宋体" w:hAnsi="宋体" w:eastAsia="宋体" w:cs="宋体"/>
          <w:color w:val="auto"/>
          <w:sz w:val="21"/>
          <w:szCs w:val="21"/>
        </w:rPr>
      </w:pPr>
      <w:r>
        <w:rPr>
          <w:rFonts w:hint="eastAsia" w:ascii="宋体" w:hAnsi="宋体" w:eastAsia="宋体" w:cs="宋体"/>
          <w:color w:val="auto"/>
          <w:sz w:val="21"/>
          <w:szCs w:val="21"/>
        </w:rPr>
        <w:t>投标人代表签字：</w:t>
      </w:r>
    </w:p>
    <w:p>
      <w:pPr>
        <w:spacing w:after="0" w:line="360" w:lineRule="auto"/>
        <w:ind w:firstLine="359" w:firstLineChars="171"/>
        <w:rPr>
          <w:rFonts w:hint="eastAsia" w:ascii="宋体" w:hAnsi="宋体" w:eastAsia="宋体" w:cs="宋体"/>
          <w:color w:val="auto"/>
          <w:sz w:val="21"/>
          <w:szCs w:val="21"/>
        </w:rPr>
      </w:pPr>
      <w:r>
        <w:rPr>
          <w:rFonts w:hint="eastAsia" w:ascii="宋体" w:hAnsi="宋体" w:eastAsia="宋体" w:cs="宋体"/>
          <w:color w:val="auto"/>
          <w:sz w:val="21"/>
          <w:szCs w:val="21"/>
        </w:rPr>
        <w:t>投标人盖章：</w:t>
      </w:r>
    </w:p>
    <w:p>
      <w:pPr>
        <w:spacing w:after="0" w:line="360" w:lineRule="auto"/>
        <w:ind w:firstLine="359" w:firstLineChars="171"/>
        <w:rPr>
          <w:rFonts w:hint="eastAsia" w:ascii="宋体" w:hAnsi="宋体" w:eastAsia="宋体" w:cs="宋体"/>
          <w:color w:val="auto"/>
          <w:sz w:val="21"/>
          <w:szCs w:val="21"/>
        </w:rPr>
      </w:pPr>
      <w:r>
        <w:rPr>
          <w:rFonts w:hint="eastAsia" w:ascii="宋体" w:hAnsi="宋体" w:eastAsia="宋体" w:cs="宋体"/>
          <w:color w:val="auto"/>
          <w:sz w:val="21"/>
          <w:szCs w:val="21"/>
        </w:rPr>
        <w:t>日期：</w:t>
      </w:r>
    </w:p>
    <w:p>
      <w:pPr>
        <w:spacing w:after="0" w:line="360" w:lineRule="auto"/>
        <w:ind w:firstLine="359" w:firstLineChars="171"/>
        <w:rPr>
          <w:rFonts w:hint="eastAsia" w:ascii="宋体" w:hAnsi="宋体" w:eastAsia="宋体" w:cs="宋体"/>
          <w:color w:val="auto"/>
          <w:sz w:val="21"/>
          <w:szCs w:val="21"/>
        </w:rPr>
      </w:pPr>
    </w:p>
    <w:p>
      <w:pPr>
        <w:spacing w:after="0" w:line="360" w:lineRule="auto"/>
        <w:ind w:left="391" w:hanging="390" w:hangingChars="186"/>
        <w:rPr>
          <w:rFonts w:hint="eastAsia" w:ascii="宋体" w:hAnsi="宋体" w:eastAsia="宋体" w:cs="宋体"/>
          <w:color w:val="auto"/>
          <w:sz w:val="21"/>
          <w:szCs w:val="21"/>
        </w:rPr>
      </w:pPr>
      <w:r>
        <w:rPr>
          <w:rFonts w:hint="eastAsia" w:ascii="宋体" w:hAnsi="宋体" w:eastAsia="宋体" w:cs="宋体"/>
          <w:color w:val="auto"/>
          <w:sz w:val="21"/>
          <w:szCs w:val="21"/>
        </w:rPr>
        <w:t xml:space="preserve">       注：1、投标总价栏须用大写金额和小写金额两种方式表示的投标总价，报价保留小数点后两位。投标总价大小写不一致，以大写为准。投标总价必须准确唯一且应包含招标文件要求的所有费用。</w:t>
      </w:r>
    </w:p>
    <w:p>
      <w:pPr>
        <w:spacing w:after="0" w:line="360" w:lineRule="auto"/>
        <w:ind w:left="374" w:leftChars="170" w:firstLine="359" w:firstLineChars="171"/>
        <w:rPr>
          <w:rFonts w:hint="eastAsia" w:ascii="宋体" w:hAnsi="宋体" w:eastAsia="宋体" w:cs="宋体"/>
          <w:color w:val="auto"/>
          <w:sz w:val="21"/>
          <w:szCs w:val="21"/>
        </w:rPr>
      </w:pPr>
      <w:r>
        <w:rPr>
          <w:rFonts w:hint="eastAsia" w:ascii="宋体" w:hAnsi="宋体" w:eastAsia="宋体" w:cs="宋体"/>
          <w:color w:val="auto"/>
          <w:sz w:val="21"/>
          <w:szCs w:val="21"/>
        </w:rPr>
        <w:t>2、此表应按投标人须知的规定密封标记并与《授权委托书》、《投标保证金汇入情况说明》同密封单独提交。</w:t>
      </w:r>
    </w:p>
    <w:p>
      <w:pPr>
        <w:spacing w:after="0" w:line="360" w:lineRule="auto"/>
        <w:ind w:left="374" w:leftChars="170" w:firstLine="359" w:firstLineChars="171"/>
        <w:rPr>
          <w:rFonts w:hint="eastAsia" w:ascii="宋体" w:hAnsi="宋体" w:eastAsia="宋体" w:cs="宋体"/>
          <w:color w:val="auto"/>
          <w:sz w:val="21"/>
          <w:szCs w:val="21"/>
        </w:rPr>
      </w:pPr>
      <w:r>
        <w:rPr>
          <w:rFonts w:hint="eastAsia" w:ascii="宋体" w:hAnsi="宋体" w:eastAsia="宋体" w:cs="宋体"/>
          <w:color w:val="auto"/>
          <w:sz w:val="21"/>
          <w:szCs w:val="21"/>
        </w:rPr>
        <w:t>3、温馨提示：未按招标文件要求报价、填写开标一览表是导致投标人废标的常见问题，请投标人仔细填写，认真核对。</w:t>
      </w:r>
    </w:p>
    <w:p>
      <w:pPr>
        <w:adjustRightInd/>
        <w:snapToGrid/>
        <w:spacing w:line="276" w:lineRule="auto"/>
        <w:rPr>
          <w:rFonts w:hint="eastAsia" w:ascii="宋体" w:hAnsi="宋体" w:eastAsia="宋体" w:cs="宋体"/>
          <w:color w:val="auto"/>
        </w:rPr>
      </w:pPr>
    </w:p>
    <w:p>
      <w:pPr>
        <w:adjustRightInd/>
        <w:snapToGrid/>
        <w:spacing w:line="276" w:lineRule="auto"/>
        <w:rPr>
          <w:rFonts w:hint="eastAsia" w:ascii="宋体" w:hAnsi="宋体" w:eastAsia="宋体" w:cs="宋体"/>
          <w:color w:val="auto"/>
        </w:rPr>
      </w:pPr>
      <w:r>
        <w:rPr>
          <w:rFonts w:hint="eastAsia" w:ascii="宋体" w:hAnsi="宋体" w:eastAsia="宋体" w:cs="宋体"/>
          <w:color w:val="auto"/>
        </w:rPr>
        <w:br w:type="page"/>
      </w:r>
    </w:p>
    <w:p>
      <w:pPr>
        <w:pStyle w:val="5"/>
        <w:widowControl w:val="0"/>
        <w:overflowPunct w:val="0"/>
        <w:spacing w:before="0" w:after="0" w:line="240" w:lineRule="auto"/>
        <w:rPr>
          <w:rFonts w:hint="eastAsia" w:ascii="宋体" w:hAnsi="宋体" w:eastAsia="宋体" w:cs="宋体"/>
          <w:color w:val="auto"/>
          <w:sz w:val="21"/>
          <w:szCs w:val="21"/>
        </w:rPr>
      </w:pPr>
      <w:bookmarkStart w:id="95" w:name="_Toc7877"/>
      <w:r>
        <w:rPr>
          <w:rFonts w:hint="eastAsia" w:ascii="宋体" w:hAnsi="宋体" w:eastAsia="宋体" w:cs="宋体"/>
          <w:color w:val="auto"/>
          <w:sz w:val="21"/>
          <w:szCs w:val="21"/>
        </w:rPr>
        <w:t>附件4. 投标分项报价表格式</w:t>
      </w:r>
      <w:bookmarkEnd w:id="95"/>
    </w:p>
    <w:p>
      <w:pPr>
        <w:jc w:val="center"/>
        <w:rPr>
          <w:rFonts w:hint="eastAsia" w:ascii="宋体" w:hAnsi="宋体" w:eastAsia="宋体" w:cs="宋体"/>
          <w:color w:val="auto"/>
          <w:sz w:val="32"/>
          <w:szCs w:val="32"/>
        </w:rPr>
      </w:pPr>
    </w:p>
    <w:p>
      <w:pPr>
        <w:jc w:val="center"/>
        <w:rPr>
          <w:rFonts w:hint="eastAsia" w:ascii="宋体" w:hAnsi="宋体" w:eastAsia="宋体" w:cs="宋体"/>
          <w:color w:val="auto"/>
          <w:sz w:val="32"/>
          <w:szCs w:val="32"/>
        </w:rPr>
      </w:pPr>
      <w:r>
        <w:rPr>
          <w:rFonts w:hint="eastAsia" w:ascii="宋体" w:hAnsi="宋体" w:eastAsia="宋体" w:cs="宋体"/>
          <w:color w:val="auto"/>
          <w:sz w:val="32"/>
          <w:szCs w:val="32"/>
        </w:rPr>
        <w:t>货物（服务）分项报价表</w:t>
      </w:r>
      <w:r>
        <w:rPr>
          <w:rFonts w:hint="eastAsia" w:ascii="宋体" w:hAnsi="宋体" w:eastAsia="宋体" w:cs="宋体"/>
          <w:color w:val="auto"/>
          <w:sz w:val="21"/>
          <w:szCs w:val="21"/>
        </w:rPr>
        <w:t xml:space="preserve"> </w:t>
      </w: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377"/>
        <w:gridCol w:w="1917"/>
        <w:gridCol w:w="1050"/>
        <w:gridCol w:w="1100"/>
        <w:gridCol w:w="1183"/>
        <w:gridCol w:w="1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spacing w:before="100" w:beforeAutospacing="1" w:after="100" w:afterAutospacing="1"/>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1377" w:type="dxa"/>
            <w:vAlign w:val="center"/>
          </w:tcPr>
          <w:p>
            <w:pPr>
              <w:spacing w:before="100" w:beforeAutospacing="1" w:after="100" w:afterAutospacing="1"/>
              <w:jc w:val="center"/>
              <w:rPr>
                <w:rFonts w:hint="eastAsia" w:ascii="宋体" w:hAnsi="宋体" w:eastAsia="宋体" w:cs="宋体"/>
                <w:color w:val="auto"/>
                <w:sz w:val="21"/>
                <w:szCs w:val="21"/>
              </w:rPr>
            </w:pPr>
            <w:r>
              <w:rPr>
                <w:rFonts w:hint="eastAsia" w:ascii="宋体" w:hAnsi="宋体" w:eastAsia="宋体" w:cs="宋体"/>
                <w:color w:val="auto"/>
                <w:sz w:val="21"/>
                <w:szCs w:val="21"/>
              </w:rPr>
              <w:t>货物（服务）名称</w:t>
            </w:r>
          </w:p>
        </w:tc>
        <w:tc>
          <w:tcPr>
            <w:tcW w:w="1917" w:type="dxa"/>
            <w:vAlign w:val="center"/>
          </w:tcPr>
          <w:p>
            <w:pPr>
              <w:spacing w:before="100" w:beforeAutospacing="1" w:after="100" w:afterAutospacing="1"/>
              <w:jc w:val="center"/>
              <w:rPr>
                <w:rFonts w:hint="eastAsia" w:ascii="宋体" w:hAnsi="宋体" w:eastAsia="宋体" w:cs="宋体"/>
                <w:color w:val="auto"/>
                <w:sz w:val="21"/>
                <w:szCs w:val="21"/>
              </w:rPr>
            </w:pPr>
            <w:r>
              <w:rPr>
                <w:rFonts w:hint="eastAsia" w:ascii="宋体" w:hAnsi="宋体" w:eastAsia="宋体" w:cs="宋体"/>
                <w:color w:val="auto"/>
                <w:sz w:val="21"/>
                <w:szCs w:val="21"/>
              </w:rPr>
              <w:t>规格型号（服务内容）</w:t>
            </w:r>
          </w:p>
        </w:tc>
        <w:tc>
          <w:tcPr>
            <w:tcW w:w="1050" w:type="dxa"/>
            <w:vAlign w:val="center"/>
          </w:tcPr>
          <w:p>
            <w:pPr>
              <w:spacing w:before="100" w:beforeAutospacing="1" w:after="100" w:afterAutospacing="1"/>
              <w:jc w:val="center"/>
              <w:rPr>
                <w:rFonts w:hint="eastAsia" w:ascii="宋体" w:hAnsi="宋体" w:eastAsia="宋体" w:cs="宋体"/>
                <w:color w:val="auto"/>
                <w:sz w:val="21"/>
                <w:szCs w:val="21"/>
              </w:rPr>
            </w:pPr>
            <w:r>
              <w:rPr>
                <w:rFonts w:hint="eastAsia" w:ascii="宋体" w:hAnsi="宋体" w:eastAsia="宋体" w:cs="宋体"/>
                <w:color w:val="auto"/>
                <w:sz w:val="21"/>
                <w:szCs w:val="21"/>
              </w:rPr>
              <w:t>数量</w:t>
            </w:r>
          </w:p>
        </w:tc>
        <w:tc>
          <w:tcPr>
            <w:tcW w:w="1100" w:type="dxa"/>
            <w:vAlign w:val="center"/>
          </w:tcPr>
          <w:p>
            <w:pPr>
              <w:spacing w:before="100" w:beforeAutospacing="1" w:after="100" w:afterAutospacing="1"/>
              <w:jc w:val="center"/>
              <w:rPr>
                <w:rFonts w:hint="eastAsia" w:ascii="宋体" w:hAnsi="宋体" w:eastAsia="宋体" w:cs="宋体"/>
                <w:color w:val="auto"/>
                <w:sz w:val="21"/>
                <w:szCs w:val="21"/>
              </w:rPr>
            </w:pPr>
            <w:r>
              <w:rPr>
                <w:rFonts w:hint="eastAsia" w:ascii="宋体" w:hAnsi="宋体" w:eastAsia="宋体" w:cs="宋体"/>
                <w:color w:val="auto"/>
                <w:sz w:val="21"/>
                <w:szCs w:val="21"/>
              </w:rPr>
              <w:t>单价</w:t>
            </w:r>
          </w:p>
        </w:tc>
        <w:tc>
          <w:tcPr>
            <w:tcW w:w="1183" w:type="dxa"/>
            <w:vAlign w:val="center"/>
          </w:tcPr>
          <w:p>
            <w:pPr>
              <w:spacing w:before="100" w:beforeAutospacing="1" w:after="100" w:afterAutospacing="1"/>
              <w:jc w:val="center"/>
              <w:rPr>
                <w:rFonts w:hint="eastAsia" w:ascii="宋体" w:hAnsi="宋体" w:eastAsia="宋体" w:cs="宋体"/>
                <w:color w:val="auto"/>
                <w:sz w:val="21"/>
                <w:szCs w:val="21"/>
              </w:rPr>
            </w:pPr>
            <w:r>
              <w:rPr>
                <w:rFonts w:hint="eastAsia" w:ascii="宋体" w:hAnsi="宋体" w:eastAsia="宋体" w:cs="宋体"/>
                <w:color w:val="auto"/>
                <w:sz w:val="21"/>
                <w:szCs w:val="21"/>
              </w:rPr>
              <w:t>服务要求</w:t>
            </w:r>
          </w:p>
        </w:tc>
        <w:tc>
          <w:tcPr>
            <w:tcW w:w="1078" w:type="dxa"/>
            <w:vAlign w:val="center"/>
          </w:tcPr>
          <w:p>
            <w:pPr>
              <w:spacing w:before="100" w:beforeAutospacing="1" w:after="100" w:afterAutospacing="1"/>
              <w:jc w:val="center"/>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widowControl w:val="0"/>
              <w:adjustRightInd/>
              <w:snapToGrid/>
              <w:spacing w:before="100" w:beforeAutospacing="1" w:after="100" w:afterAutospacing="1"/>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377" w:type="dxa"/>
            <w:vAlign w:val="center"/>
          </w:tcPr>
          <w:p>
            <w:pPr>
              <w:spacing w:before="100" w:beforeAutospacing="1" w:after="100" w:afterAutospacing="1"/>
              <w:rPr>
                <w:rFonts w:hint="eastAsia" w:ascii="宋体" w:hAnsi="宋体" w:eastAsia="宋体" w:cs="宋体"/>
                <w:color w:val="auto"/>
                <w:sz w:val="21"/>
                <w:szCs w:val="21"/>
              </w:rPr>
            </w:pPr>
          </w:p>
        </w:tc>
        <w:tc>
          <w:tcPr>
            <w:tcW w:w="1917" w:type="dxa"/>
            <w:vAlign w:val="center"/>
          </w:tcPr>
          <w:p>
            <w:pPr>
              <w:spacing w:before="100" w:beforeAutospacing="1" w:after="100" w:afterAutospacing="1"/>
              <w:jc w:val="center"/>
              <w:rPr>
                <w:rFonts w:hint="eastAsia" w:ascii="宋体" w:hAnsi="宋体" w:eastAsia="宋体" w:cs="宋体"/>
                <w:color w:val="auto"/>
                <w:sz w:val="21"/>
                <w:szCs w:val="21"/>
              </w:rPr>
            </w:pPr>
          </w:p>
        </w:tc>
        <w:tc>
          <w:tcPr>
            <w:tcW w:w="1050" w:type="dxa"/>
            <w:vAlign w:val="center"/>
          </w:tcPr>
          <w:p>
            <w:pPr>
              <w:spacing w:before="100" w:beforeAutospacing="1" w:after="100" w:afterAutospacing="1"/>
              <w:jc w:val="center"/>
              <w:rPr>
                <w:rFonts w:hint="eastAsia" w:ascii="宋体" w:hAnsi="宋体" w:eastAsia="宋体" w:cs="宋体"/>
                <w:color w:val="auto"/>
                <w:sz w:val="21"/>
                <w:szCs w:val="21"/>
              </w:rPr>
            </w:pPr>
          </w:p>
        </w:tc>
        <w:tc>
          <w:tcPr>
            <w:tcW w:w="1100" w:type="dxa"/>
            <w:vAlign w:val="center"/>
          </w:tcPr>
          <w:p>
            <w:pPr>
              <w:spacing w:before="100" w:beforeAutospacing="1" w:after="100" w:afterAutospacing="1"/>
              <w:jc w:val="center"/>
              <w:rPr>
                <w:rFonts w:hint="eastAsia" w:ascii="宋体" w:hAnsi="宋体" w:eastAsia="宋体" w:cs="宋体"/>
                <w:color w:val="auto"/>
                <w:sz w:val="21"/>
                <w:szCs w:val="21"/>
              </w:rPr>
            </w:pPr>
          </w:p>
        </w:tc>
        <w:tc>
          <w:tcPr>
            <w:tcW w:w="1183" w:type="dxa"/>
            <w:vAlign w:val="center"/>
          </w:tcPr>
          <w:p>
            <w:pPr>
              <w:spacing w:before="100" w:beforeAutospacing="1" w:after="100" w:afterAutospacing="1"/>
              <w:jc w:val="center"/>
              <w:rPr>
                <w:rFonts w:hint="eastAsia" w:ascii="宋体" w:hAnsi="宋体" w:eastAsia="宋体" w:cs="宋体"/>
                <w:color w:val="auto"/>
                <w:sz w:val="21"/>
                <w:szCs w:val="21"/>
              </w:rPr>
            </w:pPr>
          </w:p>
        </w:tc>
        <w:tc>
          <w:tcPr>
            <w:tcW w:w="1078" w:type="dxa"/>
            <w:vAlign w:val="center"/>
          </w:tcPr>
          <w:p>
            <w:pPr>
              <w:spacing w:before="100" w:beforeAutospacing="1" w:after="100" w:afterAutospacing="1"/>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widowControl w:val="0"/>
              <w:adjustRightInd/>
              <w:snapToGrid/>
              <w:spacing w:before="100" w:beforeAutospacing="1" w:after="100" w:afterAutospacing="1"/>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1377" w:type="dxa"/>
            <w:vAlign w:val="center"/>
          </w:tcPr>
          <w:p>
            <w:pPr>
              <w:spacing w:before="100" w:beforeAutospacing="1" w:after="100" w:afterAutospacing="1"/>
              <w:rPr>
                <w:rFonts w:hint="eastAsia" w:ascii="宋体" w:hAnsi="宋体" w:eastAsia="宋体" w:cs="宋体"/>
                <w:color w:val="auto"/>
                <w:sz w:val="21"/>
                <w:szCs w:val="21"/>
              </w:rPr>
            </w:pPr>
          </w:p>
        </w:tc>
        <w:tc>
          <w:tcPr>
            <w:tcW w:w="1917" w:type="dxa"/>
            <w:vAlign w:val="center"/>
          </w:tcPr>
          <w:p>
            <w:pPr>
              <w:spacing w:before="100" w:beforeAutospacing="1" w:after="100" w:afterAutospacing="1"/>
              <w:jc w:val="center"/>
              <w:rPr>
                <w:rFonts w:hint="eastAsia" w:ascii="宋体" w:hAnsi="宋体" w:eastAsia="宋体" w:cs="宋体"/>
                <w:color w:val="auto"/>
                <w:sz w:val="21"/>
                <w:szCs w:val="21"/>
              </w:rPr>
            </w:pPr>
          </w:p>
        </w:tc>
        <w:tc>
          <w:tcPr>
            <w:tcW w:w="1050" w:type="dxa"/>
            <w:vAlign w:val="center"/>
          </w:tcPr>
          <w:p>
            <w:pPr>
              <w:spacing w:before="100" w:beforeAutospacing="1" w:after="100" w:afterAutospacing="1"/>
              <w:jc w:val="center"/>
              <w:rPr>
                <w:rFonts w:hint="eastAsia" w:ascii="宋体" w:hAnsi="宋体" w:eastAsia="宋体" w:cs="宋体"/>
                <w:color w:val="auto"/>
                <w:sz w:val="21"/>
                <w:szCs w:val="21"/>
              </w:rPr>
            </w:pPr>
          </w:p>
        </w:tc>
        <w:tc>
          <w:tcPr>
            <w:tcW w:w="1100" w:type="dxa"/>
            <w:vAlign w:val="center"/>
          </w:tcPr>
          <w:p>
            <w:pPr>
              <w:spacing w:before="100" w:beforeAutospacing="1" w:after="100" w:afterAutospacing="1"/>
              <w:jc w:val="center"/>
              <w:rPr>
                <w:rFonts w:hint="eastAsia" w:ascii="宋体" w:hAnsi="宋体" w:eastAsia="宋体" w:cs="宋体"/>
                <w:color w:val="auto"/>
                <w:sz w:val="21"/>
                <w:szCs w:val="21"/>
              </w:rPr>
            </w:pPr>
          </w:p>
        </w:tc>
        <w:tc>
          <w:tcPr>
            <w:tcW w:w="1183" w:type="dxa"/>
            <w:vAlign w:val="center"/>
          </w:tcPr>
          <w:p>
            <w:pPr>
              <w:spacing w:before="100" w:beforeAutospacing="1" w:after="100" w:afterAutospacing="1"/>
              <w:jc w:val="center"/>
              <w:rPr>
                <w:rFonts w:hint="eastAsia" w:ascii="宋体" w:hAnsi="宋体" w:eastAsia="宋体" w:cs="宋体"/>
                <w:color w:val="auto"/>
                <w:sz w:val="21"/>
                <w:szCs w:val="21"/>
              </w:rPr>
            </w:pPr>
          </w:p>
        </w:tc>
        <w:tc>
          <w:tcPr>
            <w:tcW w:w="1078" w:type="dxa"/>
            <w:vAlign w:val="center"/>
          </w:tcPr>
          <w:p>
            <w:pPr>
              <w:spacing w:before="100" w:beforeAutospacing="1" w:after="100" w:afterAutospacing="1"/>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widowControl w:val="0"/>
              <w:adjustRightInd/>
              <w:snapToGrid/>
              <w:spacing w:before="100" w:beforeAutospacing="1" w:after="100" w:afterAutospacing="1"/>
              <w:jc w:val="center"/>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1377" w:type="dxa"/>
            <w:vAlign w:val="center"/>
          </w:tcPr>
          <w:p>
            <w:pPr>
              <w:spacing w:before="100" w:beforeAutospacing="1" w:after="100" w:afterAutospacing="1"/>
              <w:rPr>
                <w:rFonts w:hint="eastAsia" w:ascii="宋体" w:hAnsi="宋体" w:eastAsia="宋体" w:cs="宋体"/>
                <w:color w:val="auto"/>
                <w:sz w:val="21"/>
                <w:szCs w:val="21"/>
              </w:rPr>
            </w:pPr>
          </w:p>
        </w:tc>
        <w:tc>
          <w:tcPr>
            <w:tcW w:w="1917" w:type="dxa"/>
            <w:vAlign w:val="center"/>
          </w:tcPr>
          <w:p>
            <w:pPr>
              <w:spacing w:before="100" w:beforeAutospacing="1" w:after="100" w:afterAutospacing="1"/>
              <w:jc w:val="center"/>
              <w:rPr>
                <w:rFonts w:hint="eastAsia" w:ascii="宋体" w:hAnsi="宋体" w:eastAsia="宋体" w:cs="宋体"/>
                <w:color w:val="auto"/>
                <w:sz w:val="21"/>
                <w:szCs w:val="21"/>
              </w:rPr>
            </w:pPr>
          </w:p>
        </w:tc>
        <w:tc>
          <w:tcPr>
            <w:tcW w:w="1050" w:type="dxa"/>
            <w:vAlign w:val="center"/>
          </w:tcPr>
          <w:p>
            <w:pPr>
              <w:spacing w:before="100" w:beforeAutospacing="1" w:after="100" w:afterAutospacing="1"/>
              <w:jc w:val="center"/>
              <w:rPr>
                <w:rFonts w:hint="eastAsia" w:ascii="宋体" w:hAnsi="宋体" w:eastAsia="宋体" w:cs="宋体"/>
                <w:color w:val="auto"/>
                <w:sz w:val="21"/>
                <w:szCs w:val="21"/>
              </w:rPr>
            </w:pPr>
          </w:p>
        </w:tc>
        <w:tc>
          <w:tcPr>
            <w:tcW w:w="1100" w:type="dxa"/>
            <w:vAlign w:val="center"/>
          </w:tcPr>
          <w:p>
            <w:pPr>
              <w:spacing w:before="100" w:beforeAutospacing="1" w:after="100" w:afterAutospacing="1"/>
              <w:jc w:val="center"/>
              <w:rPr>
                <w:rFonts w:hint="eastAsia" w:ascii="宋体" w:hAnsi="宋体" w:eastAsia="宋体" w:cs="宋体"/>
                <w:color w:val="auto"/>
                <w:sz w:val="21"/>
                <w:szCs w:val="21"/>
              </w:rPr>
            </w:pPr>
          </w:p>
        </w:tc>
        <w:tc>
          <w:tcPr>
            <w:tcW w:w="1183" w:type="dxa"/>
            <w:vAlign w:val="center"/>
          </w:tcPr>
          <w:p>
            <w:pPr>
              <w:spacing w:before="100" w:beforeAutospacing="1" w:after="100" w:afterAutospacing="1"/>
              <w:jc w:val="center"/>
              <w:rPr>
                <w:rFonts w:hint="eastAsia" w:ascii="宋体" w:hAnsi="宋体" w:eastAsia="宋体" w:cs="宋体"/>
                <w:color w:val="auto"/>
                <w:sz w:val="21"/>
                <w:szCs w:val="21"/>
              </w:rPr>
            </w:pPr>
          </w:p>
        </w:tc>
        <w:tc>
          <w:tcPr>
            <w:tcW w:w="1078" w:type="dxa"/>
            <w:vAlign w:val="center"/>
          </w:tcPr>
          <w:p>
            <w:pPr>
              <w:spacing w:before="100" w:beforeAutospacing="1" w:after="100" w:afterAutospacing="1"/>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6261" w:type="dxa"/>
            <w:gridSpan w:val="5"/>
            <w:vAlign w:val="center"/>
          </w:tcPr>
          <w:p>
            <w:pPr>
              <w:spacing w:before="100" w:beforeAutospacing="1" w:after="100" w:afterAutospacing="1"/>
              <w:jc w:val="center"/>
              <w:rPr>
                <w:rFonts w:hint="eastAsia" w:ascii="宋体" w:hAnsi="宋体" w:eastAsia="宋体" w:cs="宋体"/>
                <w:color w:val="auto"/>
                <w:sz w:val="21"/>
                <w:szCs w:val="21"/>
              </w:rPr>
            </w:pPr>
            <w:r>
              <w:rPr>
                <w:rFonts w:hint="eastAsia" w:ascii="宋体" w:hAnsi="宋体" w:eastAsia="宋体" w:cs="宋体"/>
                <w:color w:val="auto"/>
                <w:sz w:val="21"/>
                <w:szCs w:val="21"/>
              </w:rPr>
              <w:t>总价</w:t>
            </w:r>
          </w:p>
        </w:tc>
        <w:tc>
          <w:tcPr>
            <w:tcW w:w="2261" w:type="dxa"/>
            <w:gridSpan w:val="2"/>
            <w:vAlign w:val="center"/>
          </w:tcPr>
          <w:p>
            <w:pPr>
              <w:spacing w:before="100" w:beforeAutospacing="1" w:after="100" w:afterAutospacing="1"/>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trPr>
        <w:tc>
          <w:tcPr>
            <w:tcW w:w="8522" w:type="dxa"/>
            <w:gridSpan w:val="7"/>
            <w:vAlign w:val="center"/>
          </w:tcPr>
          <w:p>
            <w:pPr>
              <w:spacing w:after="0"/>
              <w:rPr>
                <w:rFonts w:hint="eastAsia" w:ascii="宋体" w:hAnsi="宋体" w:eastAsia="宋体" w:cs="宋体"/>
                <w:color w:val="auto"/>
                <w:sz w:val="21"/>
                <w:szCs w:val="21"/>
              </w:rPr>
            </w:pPr>
            <w:r>
              <w:rPr>
                <w:rFonts w:hint="eastAsia" w:ascii="宋体" w:hAnsi="宋体" w:eastAsia="宋体" w:cs="宋体"/>
                <w:color w:val="auto"/>
                <w:sz w:val="21"/>
                <w:szCs w:val="21"/>
              </w:rPr>
              <w:t>投标人代表签字：</w:t>
            </w:r>
          </w:p>
          <w:p>
            <w:pPr>
              <w:spacing w:after="0"/>
              <w:rPr>
                <w:rFonts w:hint="eastAsia" w:ascii="宋体" w:hAnsi="宋体" w:eastAsia="宋体" w:cs="宋体"/>
                <w:color w:val="auto"/>
                <w:sz w:val="21"/>
                <w:szCs w:val="21"/>
              </w:rPr>
            </w:pPr>
            <w:r>
              <w:rPr>
                <w:rFonts w:hint="eastAsia" w:ascii="宋体" w:hAnsi="宋体" w:eastAsia="宋体" w:cs="宋体"/>
                <w:color w:val="auto"/>
                <w:sz w:val="21"/>
                <w:szCs w:val="21"/>
              </w:rPr>
              <w:t>投标人盖章：</w:t>
            </w:r>
          </w:p>
          <w:p>
            <w:pPr>
              <w:spacing w:after="0"/>
              <w:rPr>
                <w:rFonts w:hint="eastAsia" w:ascii="宋体" w:hAnsi="宋体" w:eastAsia="宋体" w:cs="宋体"/>
                <w:color w:val="auto"/>
                <w:sz w:val="21"/>
                <w:szCs w:val="21"/>
              </w:rPr>
            </w:pPr>
            <w:r>
              <w:rPr>
                <w:rFonts w:hint="eastAsia" w:ascii="宋体" w:hAnsi="宋体" w:eastAsia="宋体" w:cs="宋体"/>
                <w:color w:val="auto"/>
                <w:sz w:val="21"/>
                <w:szCs w:val="21"/>
              </w:rPr>
              <w:t>日期：</w:t>
            </w:r>
          </w:p>
        </w:tc>
      </w:tr>
    </w:tbl>
    <w:p>
      <w:pPr>
        <w:rPr>
          <w:rFonts w:hint="eastAsia" w:ascii="宋体" w:hAnsi="宋体" w:eastAsia="宋体" w:cs="宋体"/>
          <w:b/>
          <w:color w:val="auto"/>
          <w:sz w:val="21"/>
          <w:szCs w:val="21"/>
        </w:rPr>
      </w:pPr>
    </w:p>
    <w:p>
      <w:pPr>
        <w:rPr>
          <w:rFonts w:hint="eastAsia" w:ascii="宋体" w:hAnsi="宋体" w:eastAsia="宋体" w:cs="宋体"/>
          <w:b/>
          <w:color w:val="auto"/>
          <w:sz w:val="21"/>
          <w:szCs w:val="21"/>
        </w:rPr>
      </w:pPr>
      <w:r>
        <w:rPr>
          <w:rFonts w:hint="eastAsia" w:ascii="宋体" w:hAnsi="宋体" w:eastAsia="宋体" w:cs="宋体"/>
          <w:b/>
          <w:color w:val="auto"/>
          <w:sz w:val="21"/>
          <w:szCs w:val="21"/>
        </w:rPr>
        <w:br w:type="page"/>
      </w:r>
    </w:p>
    <w:p>
      <w:pPr>
        <w:jc w:val="center"/>
        <w:rPr>
          <w:rFonts w:hint="eastAsia" w:ascii="宋体" w:hAnsi="宋体" w:eastAsia="宋体" w:cs="宋体"/>
          <w:color w:val="auto"/>
          <w:sz w:val="32"/>
          <w:szCs w:val="32"/>
        </w:rPr>
      </w:pPr>
    </w:p>
    <w:p>
      <w:pPr>
        <w:jc w:val="center"/>
        <w:rPr>
          <w:rFonts w:hint="eastAsia" w:ascii="宋体" w:hAnsi="宋体" w:eastAsia="宋体" w:cs="宋体"/>
          <w:color w:val="auto"/>
          <w:sz w:val="32"/>
          <w:szCs w:val="32"/>
        </w:rPr>
      </w:pPr>
      <w:r>
        <w:rPr>
          <w:rFonts w:hint="eastAsia" w:ascii="宋体" w:hAnsi="宋体" w:eastAsia="宋体" w:cs="宋体"/>
          <w:color w:val="auto"/>
          <w:sz w:val="32"/>
          <w:szCs w:val="32"/>
        </w:rPr>
        <w:t>小型和微型企业（货物、承担的工程或者服务）列价表</w:t>
      </w: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587"/>
        <w:gridCol w:w="1575"/>
        <w:gridCol w:w="1180"/>
        <w:gridCol w:w="778"/>
        <w:gridCol w:w="777"/>
        <w:gridCol w:w="778"/>
        <w:gridCol w:w="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875" w:type="dxa"/>
            <w:vAlign w:val="center"/>
          </w:tcPr>
          <w:p>
            <w:pPr>
              <w:spacing w:after="0"/>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1587" w:type="dxa"/>
            <w:vAlign w:val="center"/>
          </w:tcPr>
          <w:p>
            <w:pPr>
              <w:spacing w:after="0"/>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货物名称</w:t>
            </w:r>
          </w:p>
        </w:tc>
        <w:tc>
          <w:tcPr>
            <w:tcW w:w="1575" w:type="dxa"/>
            <w:vAlign w:val="center"/>
          </w:tcPr>
          <w:p>
            <w:pPr>
              <w:spacing w:after="0"/>
              <w:ind w:hanging="148"/>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品牌及原产地</w:t>
            </w:r>
          </w:p>
        </w:tc>
        <w:tc>
          <w:tcPr>
            <w:tcW w:w="1180" w:type="dxa"/>
            <w:vAlign w:val="center"/>
          </w:tcPr>
          <w:p>
            <w:pPr>
              <w:spacing w:after="0"/>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规格型号</w:t>
            </w:r>
          </w:p>
        </w:tc>
        <w:tc>
          <w:tcPr>
            <w:tcW w:w="778" w:type="dxa"/>
            <w:vAlign w:val="center"/>
          </w:tcPr>
          <w:p>
            <w:pPr>
              <w:spacing w:after="0"/>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数量</w:t>
            </w:r>
          </w:p>
        </w:tc>
        <w:tc>
          <w:tcPr>
            <w:tcW w:w="777" w:type="dxa"/>
            <w:vAlign w:val="center"/>
          </w:tcPr>
          <w:p>
            <w:pPr>
              <w:spacing w:after="0"/>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单价</w:t>
            </w:r>
          </w:p>
        </w:tc>
        <w:tc>
          <w:tcPr>
            <w:tcW w:w="778" w:type="dxa"/>
            <w:vAlign w:val="center"/>
          </w:tcPr>
          <w:p>
            <w:pPr>
              <w:spacing w:after="0"/>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总价</w:t>
            </w:r>
          </w:p>
        </w:tc>
        <w:tc>
          <w:tcPr>
            <w:tcW w:w="972" w:type="dxa"/>
            <w:vAlign w:val="center"/>
          </w:tcPr>
          <w:p>
            <w:pPr>
              <w:spacing w:after="0"/>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875" w:type="dxa"/>
            <w:vAlign w:val="center"/>
          </w:tcPr>
          <w:p>
            <w:pPr>
              <w:spacing w:after="0"/>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587" w:type="dxa"/>
            <w:vAlign w:val="center"/>
          </w:tcPr>
          <w:p>
            <w:pPr>
              <w:spacing w:after="0"/>
              <w:jc w:val="center"/>
              <w:textAlignment w:val="bottom"/>
              <w:rPr>
                <w:rFonts w:hint="eastAsia" w:ascii="宋体" w:hAnsi="宋体" w:eastAsia="宋体" w:cs="宋体"/>
                <w:color w:val="auto"/>
                <w:sz w:val="21"/>
                <w:szCs w:val="21"/>
              </w:rPr>
            </w:pPr>
          </w:p>
        </w:tc>
        <w:tc>
          <w:tcPr>
            <w:tcW w:w="1575" w:type="dxa"/>
            <w:vAlign w:val="center"/>
          </w:tcPr>
          <w:p>
            <w:pPr>
              <w:spacing w:after="0"/>
              <w:jc w:val="center"/>
              <w:textAlignment w:val="bottom"/>
              <w:rPr>
                <w:rFonts w:hint="eastAsia" w:ascii="宋体" w:hAnsi="宋体" w:eastAsia="宋体" w:cs="宋体"/>
                <w:color w:val="auto"/>
                <w:sz w:val="21"/>
                <w:szCs w:val="21"/>
              </w:rPr>
            </w:pPr>
          </w:p>
        </w:tc>
        <w:tc>
          <w:tcPr>
            <w:tcW w:w="1180" w:type="dxa"/>
            <w:vAlign w:val="center"/>
          </w:tcPr>
          <w:p>
            <w:pPr>
              <w:spacing w:after="0"/>
              <w:jc w:val="center"/>
              <w:textAlignment w:val="bottom"/>
              <w:rPr>
                <w:rFonts w:hint="eastAsia" w:ascii="宋体" w:hAnsi="宋体" w:eastAsia="宋体" w:cs="宋体"/>
                <w:color w:val="auto"/>
                <w:sz w:val="21"/>
                <w:szCs w:val="21"/>
              </w:rPr>
            </w:pPr>
          </w:p>
        </w:tc>
        <w:tc>
          <w:tcPr>
            <w:tcW w:w="778" w:type="dxa"/>
            <w:vAlign w:val="center"/>
          </w:tcPr>
          <w:p>
            <w:pPr>
              <w:spacing w:after="0"/>
              <w:jc w:val="center"/>
              <w:textAlignment w:val="bottom"/>
              <w:rPr>
                <w:rFonts w:hint="eastAsia" w:ascii="宋体" w:hAnsi="宋体" w:eastAsia="宋体" w:cs="宋体"/>
                <w:color w:val="auto"/>
                <w:sz w:val="21"/>
                <w:szCs w:val="21"/>
              </w:rPr>
            </w:pPr>
          </w:p>
        </w:tc>
        <w:tc>
          <w:tcPr>
            <w:tcW w:w="777" w:type="dxa"/>
            <w:vAlign w:val="center"/>
          </w:tcPr>
          <w:p>
            <w:pPr>
              <w:spacing w:after="0"/>
              <w:jc w:val="center"/>
              <w:textAlignment w:val="bottom"/>
              <w:rPr>
                <w:rFonts w:hint="eastAsia" w:ascii="宋体" w:hAnsi="宋体" w:eastAsia="宋体" w:cs="宋体"/>
                <w:color w:val="auto"/>
                <w:sz w:val="21"/>
                <w:szCs w:val="21"/>
              </w:rPr>
            </w:pPr>
          </w:p>
        </w:tc>
        <w:tc>
          <w:tcPr>
            <w:tcW w:w="778" w:type="dxa"/>
            <w:vAlign w:val="center"/>
          </w:tcPr>
          <w:p>
            <w:pPr>
              <w:spacing w:after="0"/>
              <w:jc w:val="center"/>
              <w:textAlignment w:val="bottom"/>
              <w:rPr>
                <w:rFonts w:hint="eastAsia" w:ascii="宋体" w:hAnsi="宋体" w:eastAsia="宋体" w:cs="宋体"/>
                <w:color w:val="auto"/>
                <w:sz w:val="21"/>
                <w:szCs w:val="21"/>
              </w:rPr>
            </w:pPr>
          </w:p>
        </w:tc>
        <w:tc>
          <w:tcPr>
            <w:tcW w:w="972" w:type="dxa"/>
            <w:vAlign w:val="center"/>
          </w:tcPr>
          <w:p>
            <w:pPr>
              <w:spacing w:after="0"/>
              <w:jc w:val="center"/>
              <w:textAlignment w:val="bottom"/>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75" w:type="dxa"/>
            <w:vAlign w:val="center"/>
          </w:tcPr>
          <w:p>
            <w:pPr>
              <w:spacing w:after="0"/>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1587" w:type="dxa"/>
            <w:vAlign w:val="center"/>
          </w:tcPr>
          <w:p>
            <w:pPr>
              <w:spacing w:after="0"/>
              <w:jc w:val="center"/>
              <w:textAlignment w:val="bottom"/>
              <w:rPr>
                <w:rFonts w:hint="eastAsia" w:ascii="宋体" w:hAnsi="宋体" w:eastAsia="宋体" w:cs="宋体"/>
                <w:color w:val="auto"/>
                <w:sz w:val="21"/>
                <w:szCs w:val="21"/>
              </w:rPr>
            </w:pPr>
          </w:p>
        </w:tc>
        <w:tc>
          <w:tcPr>
            <w:tcW w:w="1575" w:type="dxa"/>
            <w:vAlign w:val="center"/>
          </w:tcPr>
          <w:p>
            <w:pPr>
              <w:spacing w:after="0"/>
              <w:jc w:val="center"/>
              <w:textAlignment w:val="bottom"/>
              <w:rPr>
                <w:rFonts w:hint="eastAsia" w:ascii="宋体" w:hAnsi="宋体" w:eastAsia="宋体" w:cs="宋体"/>
                <w:color w:val="auto"/>
                <w:sz w:val="21"/>
                <w:szCs w:val="21"/>
              </w:rPr>
            </w:pPr>
          </w:p>
        </w:tc>
        <w:tc>
          <w:tcPr>
            <w:tcW w:w="1180" w:type="dxa"/>
            <w:vAlign w:val="center"/>
          </w:tcPr>
          <w:p>
            <w:pPr>
              <w:spacing w:after="0"/>
              <w:jc w:val="center"/>
              <w:textAlignment w:val="bottom"/>
              <w:rPr>
                <w:rFonts w:hint="eastAsia" w:ascii="宋体" w:hAnsi="宋体" w:eastAsia="宋体" w:cs="宋体"/>
                <w:color w:val="auto"/>
                <w:sz w:val="21"/>
                <w:szCs w:val="21"/>
              </w:rPr>
            </w:pPr>
          </w:p>
        </w:tc>
        <w:tc>
          <w:tcPr>
            <w:tcW w:w="778" w:type="dxa"/>
            <w:vAlign w:val="center"/>
          </w:tcPr>
          <w:p>
            <w:pPr>
              <w:spacing w:after="0"/>
              <w:jc w:val="center"/>
              <w:textAlignment w:val="bottom"/>
              <w:rPr>
                <w:rFonts w:hint="eastAsia" w:ascii="宋体" w:hAnsi="宋体" w:eastAsia="宋体" w:cs="宋体"/>
                <w:color w:val="auto"/>
                <w:sz w:val="21"/>
                <w:szCs w:val="21"/>
              </w:rPr>
            </w:pPr>
          </w:p>
        </w:tc>
        <w:tc>
          <w:tcPr>
            <w:tcW w:w="777" w:type="dxa"/>
            <w:vAlign w:val="center"/>
          </w:tcPr>
          <w:p>
            <w:pPr>
              <w:spacing w:after="0"/>
              <w:jc w:val="center"/>
              <w:textAlignment w:val="bottom"/>
              <w:rPr>
                <w:rFonts w:hint="eastAsia" w:ascii="宋体" w:hAnsi="宋体" w:eastAsia="宋体" w:cs="宋体"/>
                <w:color w:val="auto"/>
                <w:sz w:val="21"/>
                <w:szCs w:val="21"/>
              </w:rPr>
            </w:pPr>
          </w:p>
        </w:tc>
        <w:tc>
          <w:tcPr>
            <w:tcW w:w="778" w:type="dxa"/>
            <w:vAlign w:val="center"/>
          </w:tcPr>
          <w:p>
            <w:pPr>
              <w:spacing w:after="0"/>
              <w:jc w:val="center"/>
              <w:textAlignment w:val="bottom"/>
              <w:rPr>
                <w:rFonts w:hint="eastAsia" w:ascii="宋体" w:hAnsi="宋体" w:eastAsia="宋体" w:cs="宋体"/>
                <w:color w:val="auto"/>
                <w:sz w:val="21"/>
                <w:szCs w:val="21"/>
              </w:rPr>
            </w:pPr>
          </w:p>
        </w:tc>
        <w:tc>
          <w:tcPr>
            <w:tcW w:w="972" w:type="dxa"/>
            <w:vAlign w:val="center"/>
          </w:tcPr>
          <w:p>
            <w:pPr>
              <w:spacing w:after="0"/>
              <w:jc w:val="center"/>
              <w:textAlignment w:val="bottom"/>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75" w:type="dxa"/>
            <w:vAlign w:val="center"/>
          </w:tcPr>
          <w:p>
            <w:pPr>
              <w:spacing w:after="0"/>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1587" w:type="dxa"/>
            <w:vAlign w:val="center"/>
          </w:tcPr>
          <w:p>
            <w:pPr>
              <w:spacing w:after="0"/>
              <w:jc w:val="center"/>
              <w:textAlignment w:val="bottom"/>
              <w:rPr>
                <w:rFonts w:hint="eastAsia" w:ascii="宋体" w:hAnsi="宋体" w:eastAsia="宋体" w:cs="宋体"/>
                <w:color w:val="auto"/>
                <w:sz w:val="21"/>
                <w:szCs w:val="21"/>
              </w:rPr>
            </w:pPr>
          </w:p>
        </w:tc>
        <w:tc>
          <w:tcPr>
            <w:tcW w:w="1575" w:type="dxa"/>
            <w:vAlign w:val="center"/>
          </w:tcPr>
          <w:p>
            <w:pPr>
              <w:spacing w:after="0"/>
              <w:jc w:val="center"/>
              <w:textAlignment w:val="bottom"/>
              <w:rPr>
                <w:rFonts w:hint="eastAsia" w:ascii="宋体" w:hAnsi="宋体" w:eastAsia="宋体" w:cs="宋体"/>
                <w:color w:val="auto"/>
                <w:sz w:val="21"/>
                <w:szCs w:val="21"/>
              </w:rPr>
            </w:pPr>
          </w:p>
        </w:tc>
        <w:tc>
          <w:tcPr>
            <w:tcW w:w="1180" w:type="dxa"/>
            <w:vAlign w:val="center"/>
          </w:tcPr>
          <w:p>
            <w:pPr>
              <w:spacing w:after="0"/>
              <w:jc w:val="center"/>
              <w:textAlignment w:val="bottom"/>
              <w:rPr>
                <w:rFonts w:hint="eastAsia" w:ascii="宋体" w:hAnsi="宋体" w:eastAsia="宋体" w:cs="宋体"/>
                <w:color w:val="auto"/>
                <w:sz w:val="21"/>
                <w:szCs w:val="21"/>
              </w:rPr>
            </w:pPr>
          </w:p>
        </w:tc>
        <w:tc>
          <w:tcPr>
            <w:tcW w:w="778" w:type="dxa"/>
            <w:vAlign w:val="center"/>
          </w:tcPr>
          <w:p>
            <w:pPr>
              <w:spacing w:after="0"/>
              <w:jc w:val="center"/>
              <w:textAlignment w:val="bottom"/>
              <w:rPr>
                <w:rFonts w:hint="eastAsia" w:ascii="宋体" w:hAnsi="宋体" w:eastAsia="宋体" w:cs="宋体"/>
                <w:color w:val="auto"/>
                <w:sz w:val="21"/>
                <w:szCs w:val="21"/>
              </w:rPr>
            </w:pPr>
          </w:p>
        </w:tc>
        <w:tc>
          <w:tcPr>
            <w:tcW w:w="777" w:type="dxa"/>
            <w:vAlign w:val="center"/>
          </w:tcPr>
          <w:p>
            <w:pPr>
              <w:spacing w:after="0"/>
              <w:jc w:val="center"/>
              <w:textAlignment w:val="bottom"/>
              <w:rPr>
                <w:rFonts w:hint="eastAsia" w:ascii="宋体" w:hAnsi="宋体" w:eastAsia="宋体" w:cs="宋体"/>
                <w:color w:val="auto"/>
                <w:sz w:val="21"/>
                <w:szCs w:val="21"/>
              </w:rPr>
            </w:pPr>
          </w:p>
        </w:tc>
        <w:tc>
          <w:tcPr>
            <w:tcW w:w="778" w:type="dxa"/>
            <w:vAlign w:val="center"/>
          </w:tcPr>
          <w:p>
            <w:pPr>
              <w:spacing w:after="0"/>
              <w:jc w:val="center"/>
              <w:textAlignment w:val="bottom"/>
              <w:rPr>
                <w:rFonts w:hint="eastAsia" w:ascii="宋体" w:hAnsi="宋体" w:eastAsia="宋体" w:cs="宋体"/>
                <w:color w:val="auto"/>
                <w:sz w:val="21"/>
                <w:szCs w:val="21"/>
              </w:rPr>
            </w:pPr>
          </w:p>
        </w:tc>
        <w:tc>
          <w:tcPr>
            <w:tcW w:w="972" w:type="dxa"/>
            <w:vAlign w:val="center"/>
          </w:tcPr>
          <w:p>
            <w:pPr>
              <w:spacing w:after="0"/>
              <w:jc w:val="center"/>
              <w:textAlignment w:val="bottom"/>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75" w:type="dxa"/>
            <w:vAlign w:val="center"/>
          </w:tcPr>
          <w:p>
            <w:pPr>
              <w:spacing w:after="0"/>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w:t>
            </w:r>
          </w:p>
        </w:tc>
        <w:tc>
          <w:tcPr>
            <w:tcW w:w="1587" w:type="dxa"/>
            <w:vAlign w:val="center"/>
          </w:tcPr>
          <w:p>
            <w:pPr>
              <w:spacing w:after="0"/>
              <w:jc w:val="center"/>
              <w:textAlignment w:val="bottom"/>
              <w:rPr>
                <w:rFonts w:hint="eastAsia" w:ascii="宋体" w:hAnsi="宋体" w:eastAsia="宋体" w:cs="宋体"/>
                <w:color w:val="auto"/>
                <w:sz w:val="21"/>
                <w:szCs w:val="21"/>
              </w:rPr>
            </w:pPr>
          </w:p>
        </w:tc>
        <w:tc>
          <w:tcPr>
            <w:tcW w:w="1575" w:type="dxa"/>
            <w:vAlign w:val="center"/>
          </w:tcPr>
          <w:p>
            <w:pPr>
              <w:spacing w:after="0"/>
              <w:jc w:val="center"/>
              <w:textAlignment w:val="bottom"/>
              <w:rPr>
                <w:rFonts w:hint="eastAsia" w:ascii="宋体" w:hAnsi="宋体" w:eastAsia="宋体" w:cs="宋体"/>
                <w:color w:val="auto"/>
                <w:sz w:val="21"/>
                <w:szCs w:val="21"/>
              </w:rPr>
            </w:pPr>
          </w:p>
        </w:tc>
        <w:tc>
          <w:tcPr>
            <w:tcW w:w="1180" w:type="dxa"/>
            <w:vAlign w:val="center"/>
          </w:tcPr>
          <w:p>
            <w:pPr>
              <w:spacing w:after="0"/>
              <w:jc w:val="center"/>
              <w:textAlignment w:val="bottom"/>
              <w:rPr>
                <w:rFonts w:hint="eastAsia" w:ascii="宋体" w:hAnsi="宋体" w:eastAsia="宋体" w:cs="宋体"/>
                <w:color w:val="auto"/>
                <w:sz w:val="21"/>
                <w:szCs w:val="21"/>
              </w:rPr>
            </w:pPr>
          </w:p>
        </w:tc>
        <w:tc>
          <w:tcPr>
            <w:tcW w:w="778" w:type="dxa"/>
            <w:vAlign w:val="center"/>
          </w:tcPr>
          <w:p>
            <w:pPr>
              <w:spacing w:after="0"/>
              <w:jc w:val="center"/>
              <w:textAlignment w:val="bottom"/>
              <w:rPr>
                <w:rFonts w:hint="eastAsia" w:ascii="宋体" w:hAnsi="宋体" w:eastAsia="宋体" w:cs="宋体"/>
                <w:color w:val="auto"/>
                <w:sz w:val="21"/>
                <w:szCs w:val="21"/>
              </w:rPr>
            </w:pPr>
          </w:p>
        </w:tc>
        <w:tc>
          <w:tcPr>
            <w:tcW w:w="777" w:type="dxa"/>
            <w:vAlign w:val="center"/>
          </w:tcPr>
          <w:p>
            <w:pPr>
              <w:spacing w:after="0"/>
              <w:jc w:val="center"/>
              <w:textAlignment w:val="bottom"/>
              <w:rPr>
                <w:rFonts w:hint="eastAsia" w:ascii="宋体" w:hAnsi="宋体" w:eastAsia="宋体" w:cs="宋体"/>
                <w:color w:val="auto"/>
                <w:sz w:val="21"/>
                <w:szCs w:val="21"/>
              </w:rPr>
            </w:pPr>
          </w:p>
        </w:tc>
        <w:tc>
          <w:tcPr>
            <w:tcW w:w="778" w:type="dxa"/>
            <w:vAlign w:val="center"/>
          </w:tcPr>
          <w:p>
            <w:pPr>
              <w:spacing w:after="0"/>
              <w:jc w:val="center"/>
              <w:textAlignment w:val="bottom"/>
              <w:rPr>
                <w:rFonts w:hint="eastAsia" w:ascii="宋体" w:hAnsi="宋体" w:eastAsia="宋体" w:cs="宋体"/>
                <w:color w:val="auto"/>
                <w:sz w:val="21"/>
                <w:szCs w:val="21"/>
              </w:rPr>
            </w:pPr>
          </w:p>
        </w:tc>
        <w:tc>
          <w:tcPr>
            <w:tcW w:w="972" w:type="dxa"/>
            <w:vAlign w:val="center"/>
          </w:tcPr>
          <w:p>
            <w:pPr>
              <w:spacing w:after="0"/>
              <w:jc w:val="center"/>
              <w:textAlignment w:val="bottom"/>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trPr>
        <w:tc>
          <w:tcPr>
            <w:tcW w:w="2462" w:type="dxa"/>
            <w:gridSpan w:val="2"/>
            <w:vAlign w:val="center"/>
          </w:tcPr>
          <w:p>
            <w:pPr>
              <w:spacing w:after="0"/>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总计</w:t>
            </w:r>
          </w:p>
        </w:tc>
        <w:tc>
          <w:tcPr>
            <w:tcW w:w="6060" w:type="dxa"/>
            <w:gridSpan w:val="6"/>
            <w:vAlign w:val="center"/>
          </w:tcPr>
          <w:p>
            <w:pPr>
              <w:spacing w:after="0"/>
              <w:rPr>
                <w:rFonts w:hint="eastAsia" w:ascii="宋体" w:hAnsi="宋体" w:eastAsia="宋体" w:cs="宋体"/>
                <w:color w:val="auto"/>
                <w:sz w:val="21"/>
                <w:szCs w:val="21"/>
              </w:rPr>
            </w:pPr>
            <w:r>
              <w:rPr>
                <w:rStyle w:val="33"/>
                <w:rFonts w:hint="eastAsia" w:ascii="宋体" w:hAnsi="宋体" w:eastAsia="宋体" w:cs="宋体"/>
                <w:color w:val="auto"/>
                <w:sz w:val="21"/>
                <w:szCs w:val="21"/>
              </w:rPr>
              <w:t>￥    元（大写人民币       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8" w:hRule="atLeast"/>
        </w:trPr>
        <w:tc>
          <w:tcPr>
            <w:tcW w:w="8522" w:type="dxa"/>
            <w:gridSpan w:val="8"/>
            <w:vAlign w:val="center"/>
          </w:tcPr>
          <w:p>
            <w:pPr>
              <w:spacing w:after="0"/>
              <w:rPr>
                <w:rStyle w:val="33"/>
                <w:rFonts w:hint="eastAsia" w:ascii="宋体" w:hAnsi="宋体" w:eastAsia="宋体" w:cs="宋体"/>
                <w:b/>
                <w:color w:val="auto"/>
                <w:sz w:val="21"/>
                <w:szCs w:val="21"/>
              </w:rPr>
            </w:pPr>
            <w:r>
              <w:rPr>
                <w:rStyle w:val="33"/>
                <w:rFonts w:hint="eastAsia" w:ascii="宋体" w:hAnsi="宋体" w:eastAsia="宋体" w:cs="宋体"/>
                <w:b/>
                <w:color w:val="auto"/>
                <w:sz w:val="21"/>
                <w:szCs w:val="21"/>
              </w:rPr>
              <w:t>注：1、投标人在“货物（服务）分项报价表”中的报价内容中，如有属于</w:t>
            </w:r>
            <w:r>
              <w:rPr>
                <w:rFonts w:hint="eastAsia" w:ascii="宋体" w:hAnsi="宋体" w:eastAsia="宋体" w:cs="宋体"/>
                <w:b/>
                <w:color w:val="auto"/>
                <w:sz w:val="21"/>
                <w:szCs w:val="21"/>
              </w:rPr>
              <w:t>小型和微型企业产品（货物、承担的工程或者服务）的，必须在此表单独列明，否则在计算价格得分时不予以相应的扣除</w:t>
            </w:r>
            <w:r>
              <w:rPr>
                <w:rStyle w:val="33"/>
                <w:rFonts w:hint="eastAsia" w:ascii="宋体" w:hAnsi="宋体" w:eastAsia="宋体" w:cs="宋体"/>
                <w:b/>
                <w:color w:val="auto"/>
                <w:sz w:val="21"/>
                <w:szCs w:val="21"/>
              </w:rPr>
              <w:t>；</w:t>
            </w:r>
          </w:p>
          <w:p>
            <w:pPr>
              <w:tabs>
                <w:tab w:val="left" w:pos="284"/>
              </w:tabs>
              <w:spacing w:after="0"/>
              <w:rPr>
                <w:rStyle w:val="33"/>
                <w:rFonts w:hint="eastAsia" w:ascii="宋体" w:hAnsi="宋体" w:eastAsia="宋体" w:cs="宋体"/>
                <w:b/>
                <w:color w:val="auto"/>
                <w:sz w:val="21"/>
                <w:szCs w:val="21"/>
              </w:rPr>
            </w:pPr>
            <w:r>
              <w:rPr>
                <w:rStyle w:val="33"/>
                <w:rFonts w:hint="eastAsia" w:ascii="宋体" w:hAnsi="宋体" w:eastAsia="宋体" w:cs="宋体"/>
                <w:b/>
                <w:color w:val="auto"/>
                <w:sz w:val="21"/>
                <w:szCs w:val="21"/>
              </w:rPr>
              <w:t>2、投标人应该如实填写，如投标人所投产品中无小型和微型企业产品的，请留空或删除此表！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7" w:hRule="atLeast"/>
        </w:trPr>
        <w:tc>
          <w:tcPr>
            <w:tcW w:w="8522" w:type="dxa"/>
            <w:gridSpan w:val="8"/>
            <w:vAlign w:val="center"/>
          </w:tcPr>
          <w:p>
            <w:pPr>
              <w:spacing w:after="0"/>
              <w:rPr>
                <w:rFonts w:hint="eastAsia" w:ascii="宋体" w:hAnsi="宋体" w:eastAsia="宋体" w:cs="宋体"/>
                <w:color w:val="auto"/>
                <w:sz w:val="21"/>
                <w:szCs w:val="21"/>
              </w:rPr>
            </w:pPr>
            <w:r>
              <w:rPr>
                <w:rFonts w:hint="eastAsia" w:ascii="宋体" w:hAnsi="宋体" w:eastAsia="宋体" w:cs="宋体"/>
                <w:color w:val="auto"/>
                <w:sz w:val="21"/>
                <w:szCs w:val="21"/>
              </w:rPr>
              <w:t>投标人代表签字：</w:t>
            </w:r>
          </w:p>
          <w:p>
            <w:pPr>
              <w:spacing w:after="0"/>
              <w:rPr>
                <w:rFonts w:hint="eastAsia" w:ascii="宋体" w:hAnsi="宋体" w:eastAsia="宋体" w:cs="宋体"/>
                <w:color w:val="auto"/>
                <w:sz w:val="21"/>
                <w:szCs w:val="21"/>
              </w:rPr>
            </w:pPr>
            <w:r>
              <w:rPr>
                <w:rFonts w:hint="eastAsia" w:ascii="宋体" w:hAnsi="宋体" w:eastAsia="宋体" w:cs="宋体"/>
                <w:color w:val="auto"/>
                <w:sz w:val="21"/>
                <w:szCs w:val="21"/>
              </w:rPr>
              <w:t>投标人盖章：</w:t>
            </w:r>
          </w:p>
          <w:p>
            <w:pPr>
              <w:tabs>
                <w:tab w:val="left" w:pos="284"/>
              </w:tabs>
              <w:spacing w:after="0"/>
              <w:rPr>
                <w:rStyle w:val="33"/>
                <w:rFonts w:hint="eastAsia" w:ascii="宋体" w:hAnsi="宋体" w:eastAsia="宋体" w:cs="宋体"/>
                <w:b/>
                <w:color w:val="auto"/>
                <w:sz w:val="21"/>
                <w:szCs w:val="21"/>
              </w:rPr>
            </w:pPr>
            <w:r>
              <w:rPr>
                <w:rFonts w:hint="eastAsia" w:ascii="宋体" w:hAnsi="宋体" w:eastAsia="宋体" w:cs="宋体"/>
                <w:color w:val="auto"/>
                <w:sz w:val="21"/>
                <w:szCs w:val="21"/>
              </w:rPr>
              <w:t>日期：</w:t>
            </w:r>
          </w:p>
        </w:tc>
      </w:tr>
    </w:tbl>
    <w:p>
      <w:pPr>
        <w:pStyle w:val="23"/>
        <w:spacing w:after="0" w:line="360" w:lineRule="auto"/>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pPr>
        <w:jc w:val="center"/>
        <w:rPr>
          <w:rFonts w:hint="eastAsia" w:ascii="宋体" w:hAnsi="宋体" w:eastAsia="宋体" w:cs="宋体"/>
          <w:color w:val="auto"/>
          <w:sz w:val="32"/>
          <w:szCs w:val="32"/>
        </w:rPr>
      </w:pPr>
    </w:p>
    <w:p>
      <w:pPr>
        <w:jc w:val="center"/>
        <w:rPr>
          <w:rFonts w:hint="eastAsia" w:ascii="宋体" w:hAnsi="宋体" w:eastAsia="宋体" w:cs="宋体"/>
          <w:color w:val="auto"/>
          <w:sz w:val="32"/>
          <w:szCs w:val="32"/>
        </w:rPr>
      </w:pPr>
      <w:r>
        <w:rPr>
          <w:rFonts w:hint="eastAsia" w:ascii="宋体" w:hAnsi="宋体" w:eastAsia="宋体" w:cs="宋体"/>
          <w:color w:val="auto"/>
          <w:sz w:val="32"/>
          <w:szCs w:val="32"/>
        </w:rPr>
        <w:t>节能产品或环境标志产品列价表</w:t>
      </w: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381"/>
        <w:gridCol w:w="1316"/>
        <w:gridCol w:w="1067"/>
        <w:gridCol w:w="1150"/>
        <w:gridCol w:w="850"/>
        <w:gridCol w:w="833"/>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875" w:type="dxa"/>
            <w:vAlign w:val="center"/>
          </w:tcPr>
          <w:p>
            <w:pPr>
              <w:spacing w:after="0"/>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1381" w:type="dxa"/>
            <w:vAlign w:val="center"/>
          </w:tcPr>
          <w:p>
            <w:pPr>
              <w:spacing w:after="0"/>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货物名称</w:t>
            </w:r>
          </w:p>
        </w:tc>
        <w:tc>
          <w:tcPr>
            <w:tcW w:w="1316" w:type="dxa"/>
            <w:vAlign w:val="center"/>
          </w:tcPr>
          <w:p>
            <w:pPr>
              <w:spacing w:after="0"/>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规格型号</w:t>
            </w:r>
          </w:p>
        </w:tc>
        <w:tc>
          <w:tcPr>
            <w:tcW w:w="1067" w:type="dxa"/>
            <w:vAlign w:val="center"/>
          </w:tcPr>
          <w:p>
            <w:pPr>
              <w:spacing w:after="0"/>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数量</w:t>
            </w:r>
          </w:p>
        </w:tc>
        <w:tc>
          <w:tcPr>
            <w:tcW w:w="1150" w:type="dxa"/>
            <w:vAlign w:val="center"/>
          </w:tcPr>
          <w:p>
            <w:pPr>
              <w:spacing w:after="0"/>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单价</w:t>
            </w:r>
          </w:p>
        </w:tc>
        <w:tc>
          <w:tcPr>
            <w:tcW w:w="850" w:type="dxa"/>
            <w:vAlign w:val="center"/>
          </w:tcPr>
          <w:p>
            <w:pPr>
              <w:spacing w:after="0"/>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总价</w:t>
            </w:r>
          </w:p>
        </w:tc>
        <w:tc>
          <w:tcPr>
            <w:tcW w:w="833" w:type="dxa"/>
            <w:vAlign w:val="center"/>
          </w:tcPr>
          <w:p>
            <w:pPr>
              <w:spacing w:after="0"/>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c>
          <w:tcPr>
            <w:tcW w:w="1050" w:type="dxa"/>
            <w:vAlign w:val="center"/>
          </w:tcPr>
          <w:p>
            <w:pPr>
              <w:spacing w:after="0"/>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认证机构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875" w:type="dxa"/>
            <w:vAlign w:val="center"/>
          </w:tcPr>
          <w:p>
            <w:pPr>
              <w:spacing w:after="0"/>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381" w:type="dxa"/>
            <w:vAlign w:val="center"/>
          </w:tcPr>
          <w:p>
            <w:pPr>
              <w:spacing w:after="0"/>
              <w:jc w:val="center"/>
              <w:textAlignment w:val="bottom"/>
              <w:rPr>
                <w:rFonts w:hint="eastAsia" w:ascii="宋体" w:hAnsi="宋体" w:eastAsia="宋体" w:cs="宋体"/>
                <w:color w:val="auto"/>
                <w:sz w:val="21"/>
                <w:szCs w:val="21"/>
              </w:rPr>
            </w:pPr>
          </w:p>
        </w:tc>
        <w:tc>
          <w:tcPr>
            <w:tcW w:w="1316" w:type="dxa"/>
            <w:vAlign w:val="center"/>
          </w:tcPr>
          <w:p>
            <w:pPr>
              <w:spacing w:after="0"/>
              <w:jc w:val="center"/>
              <w:textAlignment w:val="bottom"/>
              <w:rPr>
                <w:rFonts w:hint="eastAsia" w:ascii="宋体" w:hAnsi="宋体" w:eastAsia="宋体" w:cs="宋体"/>
                <w:color w:val="auto"/>
                <w:sz w:val="21"/>
                <w:szCs w:val="21"/>
              </w:rPr>
            </w:pPr>
          </w:p>
        </w:tc>
        <w:tc>
          <w:tcPr>
            <w:tcW w:w="1067" w:type="dxa"/>
            <w:vAlign w:val="center"/>
          </w:tcPr>
          <w:p>
            <w:pPr>
              <w:spacing w:after="0"/>
              <w:jc w:val="center"/>
              <w:textAlignment w:val="bottom"/>
              <w:rPr>
                <w:rFonts w:hint="eastAsia" w:ascii="宋体" w:hAnsi="宋体" w:eastAsia="宋体" w:cs="宋体"/>
                <w:color w:val="auto"/>
                <w:sz w:val="21"/>
                <w:szCs w:val="21"/>
              </w:rPr>
            </w:pPr>
          </w:p>
        </w:tc>
        <w:tc>
          <w:tcPr>
            <w:tcW w:w="1150" w:type="dxa"/>
            <w:vAlign w:val="center"/>
          </w:tcPr>
          <w:p>
            <w:pPr>
              <w:spacing w:after="0"/>
              <w:jc w:val="center"/>
              <w:textAlignment w:val="bottom"/>
              <w:rPr>
                <w:rFonts w:hint="eastAsia" w:ascii="宋体" w:hAnsi="宋体" w:eastAsia="宋体" w:cs="宋体"/>
                <w:color w:val="auto"/>
                <w:sz w:val="21"/>
                <w:szCs w:val="21"/>
              </w:rPr>
            </w:pPr>
          </w:p>
        </w:tc>
        <w:tc>
          <w:tcPr>
            <w:tcW w:w="850" w:type="dxa"/>
            <w:vAlign w:val="center"/>
          </w:tcPr>
          <w:p>
            <w:pPr>
              <w:spacing w:after="0"/>
              <w:jc w:val="center"/>
              <w:textAlignment w:val="bottom"/>
              <w:rPr>
                <w:rFonts w:hint="eastAsia" w:ascii="宋体" w:hAnsi="宋体" w:eastAsia="宋体" w:cs="宋体"/>
                <w:color w:val="auto"/>
                <w:sz w:val="21"/>
                <w:szCs w:val="21"/>
              </w:rPr>
            </w:pPr>
          </w:p>
        </w:tc>
        <w:tc>
          <w:tcPr>
            <w:tcW w:w="833" w:type="dxa"/>
            <w:vAlign w:val="center"/>
          </w:tcPr>
          <w:p>
            <w:pPr>
              <w:spacing w:after="0"/>
              <w:jc w:val="center"/>
              <w:textAlignment w:val="bottom"/>
              <w:rPr>
                <w:rFonts w:hint="eastAsia" w:ascii="宋体" w:hAnsi="宋体" w:eastAsia="宋体" w:cs="宋体"/>
                <w:color w:val="auto"/>
                <w:sz w:val="21"/>
                <w:szCs w:val="21"/>
              </w:rPr>
            </w:pPr>
          </w:p>
        </w:tc>
        <w:tc>
          <w:tcPr>
            <w:tcW w:w="1050" w:type="dxa"/>
            <w:vAlign w:val="center"/>
          </w:tcPr>
          <w:p>
            <w:pPr>
              <w:spacing w:after="0"/>
              <w:jc w:val="center"/>
              <w:textAlignment w:val="bottom"/>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75" w:type="dxa"/>
            <w:vAlign w:val="center"/>
          </w:tcPr>
          <w:p>
            <w:pPr>
              <w:spacing w:after="0"/>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1381" w:type="dxa"/>
            <w:vAlign w:val="center"/>
          </w:tcPr>
          <w:p>
            <w:pPr>
              <w:spacing w:after="0"/>
              <w:jc w:val="center"/>
              <w:textAlignment w:val="bottom"/>
              <w:rPr>
                <w:rFonts w:hint="eastAsia" w:ascii="宋体" w:hAnsi="宋体" w:eastAsia="宋体" w:cs="宋体"/>
                <w:color w:val="auto"/>
                <w:sz w:val="21"/>
                <w:szCs w:val="21"/>
              </w:rPr>
            </w:pPr>
          </w:p>
        </w:tc>
        <w:tc>
          <w:tcPr>
            <w:tcW w:w="1316" w:type="dxa"/>
            <w:vAlign w:val="center"/>
          </w:tcPr>
          <w:p>
            <w:pPr>
              <w:spacing w:after="0"/>
              <w:jc w:val="center"/>
              <w:textAlignment w:val="bottom"/>
              <w:rPr>
                <w:rFonts w:hint="eastAsia" w:ascii="宋体" w:hAnsi="宋体" w:eastAsia="宋体" w:cs="宋体"/>
                <w:color w:val="auto"/>
                <w:sz w:val="21"/>
                <w:szCs w:val="21"/>
              </w:rPr>
            </w:pPr>
          </w:p>
        </w:tc>
        <w:tc>
          <w:tcPr>
            <w:tcW w:w="1067" w:type="dxa"/>
            <w:vAlign w:val="center"/>
          </w:tcPr>
          <w:p>
            <w:pPr>
              <w:spacing w:after="0"/>
              <w:jc w:val="center"/>
              <w:textAlignment w:val="bottom"/>
              <w:rPr>
                <w:rFonts w:hint="eastAsia" w:ascii="宋体" w:hAnsi="宋体" w:eastAsia="宋体" w:cs="宋体"/>
                <w:color w:val="auto"/>
                <w:sz w:val="21"/>
                <w:szCs w:val="21"/>
              </w:rPr>
            </w:pPr>
          </w:p>
        </w:tc>
        <w:tc>
          <w:tcPr>
            <w:tcW w:w="1150" w:type="dxa"/>
            <w:vAlign w:val="center"/>
          </w:tcPr>
          <w:p>
            <w:pPr>
              <w:spacing w:after="0"/>
              <w:jc w:val="center"/>
              <w:textAlignment w:val="bottom"/>
              <w:rPr>
                <w:rFonts w:hint="eastAsia" w:ascii="宋体" w:hAnsi="宋体" w:eastAsia="宋体" w:cs="宋体"/>
                <w:color w:val="auto"/>
                <w:sz w:val="21"/>
                <w:szCs w:val="21"/>
              </w:rPr>
            </w:pPr>
          </w:p>
        </w:tc>
        <w:tc>
          <w:tcPr>
            <w:tcW w:w="850" w:type="dxa"/>
            <w:vAlign w:val="center"/>
          </w:tcPr>
          <w:p>
            <w:pPr>
              <w:spacing w:after="0"/>
              <w:jc w:val="center"/>
              <w:textAlignment w:val="bottom"/>
              <w:rPr>
                <w:rFonts w:hint="eastAsia" w:ascii="宋体" w:hAnsi="宋体" w:eastAsia="宋体" w:cs="宋体"/>
                <w:color w:val="auto"/>
                <w:sz w:val="21"/>
                <w:szCs w:val="21"/>
              </w:rPr>
            </w:pPr>
          </w:p>
        </w:tc>
        <w:tc>
          <w:tcPr>
            <w:tcW w:w="833" w:type="dxa"/>
            <w:vAlign w:val="center"/>
          </w:tcPr>
          <w:p>
            <w:pPr>
              <w:spacing w:after="0"/>
              <w:jc w:val="center"/>
              <w:textAlignment w:val="bottom"/>
              <w:rPr>
                <w:rFonts w:hint="eastAsia" w:ascii="宋体" w:hAnsi="宋体" w:eastAsia="宋体" w:cs="宋体"/>
                <w:color w:val="auto"/>
                <w:sz w:val="21"/>
                <w:szCs w:val="21"/>
              </w:rPr>
            </w:pPr>
          </w:p>
        </w:tc>
        <w:tc>
          <w:tcPr>
            <w:tcW w:w="1050" w:type="dxa"/>
            <w:vAlign w:val="center"/>
          </w:tcPr>
          <w:p>
            <w:pPr>
              <w:spacing w:after="0"/>
              <w:jc w:val="center"/>
              <w:textAlignment w:val="bottom"/>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75" w:type="dxa"/>
            <w:vAlign w:val="center"/>
          </w:tcPr>
          <w:p>
            <w:pPr>
              <w:spacing w:after="0"/>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1381" w:type="dxa"/>
            <w:vAlign w:val="center"/>
          </w:tcPr>
          <w:p>
            <w:pPr>
              <w:spacing w:after="0"/>
              <w:jc w:val="center"/>
              <w:textAlignment w:val="bottom"/>
              <w:rPr>
                <w:rFonts w:hint="eastAsia" w:ascii="宋体" w:hAnsi="宋体" w:eastAsia="宋体" w:cs="宋体"/>
                <w:color w:val="auto"/>
                <w:sz w:val="21"/>
                <w:szCs w:val="21"/>
              </w:rPr>
            </w:pPr>
          </w:p>
        </w:tc>
        <w:tc>
          <w:tcPr>
            <w:tcW w:w="1316" w:type="dxa"/>
            <w:vAlign w:val="center"/>
          </w:tcPr>
          <w:p>
            <w:pPr>
              <w:spacing w:after="0"/>
              <w:jc w:val="center"/>
              <w:textAlignment w:val="bottom"/>
              <w:rPr>
                <w:rFonts w:hint="eastAsia" w:ascii="宋体" w:hAnsi="宋体" w:eastAsia="宋体" w:cs="宋体"/>
                <w:color w:val="auto"/>
                <w:sz w:val="21"/>
                <w:szCs w:val="21"/>
              </w:rPr>
            </w:pPr>
          </w:p>
        </w:tc>
        <w:tc>
          <w:tcPr>
            <w:tcW w:w="1067" w:type="dxa"/>
            <w:vAlign w:val="center"/>
          </w:tcPr>
          <w:p>
            <w:pPr>
              <w:spacing w:after="0"/>
              <w:jc w:val="center"/>
              <w:textAlignment w:val="bottom"/>
              <w:rPr>
                <w:rFonts w:hint="eastAsia" w:ascii="宋体" w:hAnsi="宋体" w:eastAsia="宋体" w:cs="宋体"/>
                <w:color w:val="auto"/>
                <w:sz w:val="21"/>
                <w:szCs w:val="21"/>
              </w:rPr>
            </w:pPr>
          </w:p>
        </w:tc>
        <w:tc>
          <w:tcPr>
            <w:tcW w:w="1150" w:type="dxa"/>
            <w:vAlign w:val="center"/>
          </w:tcPr>
          <w:p>
            <w:pPr>
              <w:spacing w:after="0"/>
              <w:jc w:val="center"/>
              <w:textAlignment w:val="bottom"/>
              <w:rPr>
                <w:rFonts w:hint="eastAsia" w:ascii="宋体" w:hAnsi="宋体" w:eastAsia="宋体" w:cs="宋体"/>
                <w:color w:val="auto"/>
                <w:sz w:val="21"/>
                <w:szCs w:val="21"/>
              </w:rPr>
            </w:pPr>
          </w:p>
        </w:tc>
        <w:tc>
          <w:tcPr>
            <w:tcW w:w="850" w:type="dxa"/>
            <w:vAlign w:val="center"/>
          </w:tcPr>
          <w:p>
            <w:pPr>
              <w:spacing w:after="0"/>
              <w:jc w:val="center"/>
              <w:textAlignment w:val="bottom"/>
              <w:rPr>
                <w:rFonts w:hint="eastAsia" w:ascii="宋体" w:hAnsi="宋体" w:eastAsia="宋体" w:cs="宋体"/>
                <w:color w:val="auto"/>
                <w:sz w:val="21"/>
                <w:szCs w:val="21"/>
              </w:rPr>
            </w:pPr>
          </w:p>
        </w:tc>
        <w:tc>
          <w:tcPr>
            <w:tcW w:w="833" w:type="dxa"/>
            <w:vAlign w:val="center"/>
          </w:tcPr>
          <w:p>
            <w:pPr>
              <w:spacing w:after="0"/>
              <w:jc w:val="center"/>
              <w:textAlignment w:val="bottom"/>
              <w:rPr>
                <w:rFonts w:hint="eastAsia" w:ascii="宋体" w:hAnsi="宋体" w:eastAsia="宋体" w:cs="宋体"/>
                <w:color w:val="auto"/>
                <w:sz w:val="21"/>
                <w:szCs w:val="21"/>
              </w:rPr>
            </w:pPr>
          </w:p>
        </w:tc>
        <w:tc>
          <w:tcPr>
            <w:tcW w:w="1050" w:type="dxa"/>
            <w:vAlign w:val="center"/>
          </w:tcPr>
          <w:p>
            <w:pPr>
              <w:spacing w:after="0"/>
              <w:jc w:val="center"/>
              <w:textAlignment w:val="bottom"/>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75" w:type="dxa"/>
            <w:vAlign w:val="center"/>
          </w:tcPr>
          <w:p>
            <w:pPr>
              <w:spacing w:after="0"/>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w:t>
            </w:r>
          </w:p>
        </w:tc>
        <w:tc>
          <w:tcPr>
            <w:tcW w:w="1381" w:type="dxa"/>
            <w:vAlign w:val="center"/>
          </w:tcPr>
          <w:p>
            <w:pPr>
              <w:spacing w:after="0"/>
              <w:jc w:val="center"/>
              <w:textAlignment w:val="bottom"/>
              <w:rPr>
                <w:rFonts w:hint="eastAsia" w:ascii="宋体" w:hAnsi="宋体" w:eastAsia="宋体" w:cs="宋体"/>
                <w:color w:val="auto"/>
                <w:sz w:val="21"/>
                <w:szCs w:val="21"/>
              </w:rPr>
            </w:pPr>
          </w:p>
        </w:tc>
        <w:tc>
          <w:tcPr>
            <w:tcW w:w="1316" w:type="dxa"/>
            <w:vAlign w:val="center"/>
          </w:tcPr>
          <w:p>
            <w:pPr>
              <w:spacing w:after="0"/>
              <w:jc w:val="center"/>
              <w:textAlignment w:val="bottom"/>
              <w:rPr>
                <w:rFonts w:hint="eastAsia" w:ascii="宋体" w:hAnsi="宋体" w:eastAsia="宋体" w:cs="宋体"/>
                <w:color w:val="auto"/>
                <w:sz w:val="21"/>
                <w:szCs w:val="21"/>
              </w:rPr>
            </w:pPr>
          </w:p>
        </w:tc>
        <w:tc>
          <w:tcPr>
            <w:tcW w:w="1067" w:type="dxa"/>
            <w:vAlign w:val="center"/>
          </w:tcPr>
          <w:p>
            <w:pPr>
              <w:spacing w:after="0"/>
              <w:jc w:val="center"/>
              <w:textAlignment w:val="bottom"/>
              <w:rPr>
                <w:rFonts w:hint="eastAsia" w:ascii="宋体" w:hAnsi="宋体" w:eastAsia="宋体" w:cs="宋体"/>
                <w:color w:val="auto"/>
                <w:sz w:val="21"/>
                <w:szCs w:val="21"/>
              </w:rPr>
            </w:pPr>
          </w:p>
        </w:tc>
        <w:tc>
          <w:tcPr>
            <w:tcW w:w="1150" w:type="dxa"/>
            <w:vAlign w:val="center"/>
          </w:tcPr>
          <w:p>
            <w:pPr>
              <w:spacing w:after="0"/>
              <w:jc w:val="center"/>
              <w:textAlignment w:val="bottom"/>
              <w:rPr>
                <w:rFonts w:hint="eastAsia" w:ascii="宋体" w:hAnsi="宋体" w:eastAsia="宋体" w:cs="宋体"/>
                <w:color w:val="auto"/>
                <w:sz w:val="21"/>
                <w:szCs w:val="21"/>
              </w:rPr>
            </w:pPr>
          </w:p>
        </w:tc>
        <w:tc>
          <w:tcPr>
            <w:tcW w:w="850" w:type="dxa"/>
            <w:vAlign w:val="center"/>
          </w:tcPr>
          <w:p>
            <w:pPr>
              <w:spacing w:after="0"/>
              <w:jc w:val="center"/>
              <w:textAlignment w:val="bottom"/>
              <w:rPr>
                <w:rFonts w:hint="eastAsia" w:ascii="宋体" w:hAnsi="宋体" w:eastAsia="宋体" w:cs="宋体"/>
                <w:color w:val="auto"/>
                <w:sz w:val="21"/>
                <w:szCs w:val="21"/>
              </w:rPr>
            </w:pPr>
          </w:p>
        </w:tc>
        <w:tc>
          <w:tcPr>
            <w:tcW w:w="833" w:type="dxa"/>
            <w:vAlign w:val="center"/>
          </w:tcPr>
          <w:p>
            <w:pPr>
              <w:spacing w:after="0"/>
              <w:jc w:val="center"/>
              <w:textAlignment w:val="bottom"/>
              <w:rPr>
                <w:rFonts w:hint="eastAsia" w:ascii="宋体" w:hAnsi="宋体" w:eastAsia="宋体" w:cs="宋体"/>
                <w:color w:val="auto"/>
                <w:sz w:val="21"/>
                <w:szCs w:val="21"/>
              </w:rPr>
            </w:pPr>
          </w:p>
        </w:tc>
        <w:tc>
          <w:tcPr>
            <w:tcW w:w="1050" w:type="dxa"/>
            <w:vAlign w:val="center"/>
          </w:tcPr>
          <w:p>
            <w:pPr>
              <w:spacing w:after="0"/>
              <w:jc w:val="center"/>
              <w:textAlignment w:val="bottom"/>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trPr>
        <w:tc>
          <w:tcPr>
            <w:tcW w:w="2256" w:type="dxa"/>
            <w:gridSpan w:val="2"/>
            <w:vAlign w:val="center"/>
          </w:tcPr>
          <w:p>
            <w:pPr>
              <w:spacing w:after="0"/>
              <w:jc w:val="center"/>
              <w:textAlignment w:val="bottom"/>
              <w:rPr>
                <w:rFonts w:hint="eastAsia" w:ascii="宋体" w:hAnsi="宋体" w:eastAsia="宋体" w:cs="宋体"/>
                <w:color w:val="auto"/>
                <w:sz w:val="21"/>
                <w:szCs w:val="21"/>
              </w:rPr>
            </w:pPr>
            <w:r>
              <w:rPr>
                <w:rFonts w:hint="eastAsia" w:ascii="宋体" w:hAnsi="宋体" w:eastAsia="宋体" w:cs="宋体"/>
                <w:color w:val="auto"/>
                <w:sz w:val="21"/>
                <w:szCs w:val="21"/>
              </w:rPr>
              <w:t>总计</w:t>
            </w:r>
          </w:p>
        </w:tc>
        <w:tc>
          <w:tcPr>
            <w:tcW w:w="6266" w:type="dxa"/>
            <w:gridSpan w:val="6"/>
            <w:vAlign w:val="center"/>
          </w:tcPr>
          <w:p>
            <w:pPr>
              <w:spacing w:after="0"/>
              <w:rPr>
                <w:rFonts w:hint="eastAsia" w:ascii="宋体" w:hAnsi="宋体" w:eastAsia="宋体" w:cs="宋体"/>
                <w:color w:val="auto"/>
                <w:sz w:val="21"/>
                <w:szCs w:val="21"/>
              </w:rPr>
            </w:pPr>
            <w:r>
              <w:rPr>
                <w:rStyle w:val="33"/>
                <w:rFonts w:hint="eastAsia" w:ascii="宋体" w:hAnsi="宋体" w:eastAsia="宋体" w:cs="宋体"/>
                <w:color w:val="auto"/>
                <w:sz w:val="21"/>
                <w:szCs w:val="21"/>
              </w:rPr>
              <w:t>￥    元（大写人民币       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8" w:hRule="atLeast"/>
        </w:trPr>
        <w:tc>
          <w:tcPr>
            <w:tcW w:w="8522" w:type="dxa"/>
            <w:gridSpan w:val="8"/>
            <w:vAlign w:val="center"/>
          </w:tcPr>
          <w:p>
            <w:pPr>
              <w:tabs>
                <w:tab w:val="left" w:pos="284"/>
              </w:tabs>
              <w:spacing w:after="0"/>
              <w:rPr>
                <w:rStyle w:val="33"/>
                <w:rFonts w:hint="eastAsia" w:ascii="宋体" w:hAnsi="宋体" w:eastAsia="宋体" w:cs="宋体"/>
                <w:b/>
                <w:color w:val="auto"/>
                <w:sz w:val="21"/>
                <w:szCs w:val="21"/>
              </w:rPr>
            </w:pPr>
            <w:r>
              <w:rPr>
                <w:rStyle w:val="33"/>
                <w:rFonts w:hint="eastAsia" w:ascii="宋体" w:hAnsi="宋体" w:eastAsia="宋体" w:cs="宋体"/>
                <w:b/>
                <w:color w:val="auto"/>
                <w:sz w:val="21"/>
                <w:szCs w:val="21"/>
              </w:rPr>
              <w:t>注：1、投标人在“货物（服务）分项报价表”中的报价内容中，如有属于节能产品或环境标志产的，必须在此表单独列明且提供相应的证明材料，否则在计算价格得分时不予以相应的扣除；</w:t>
            </w:r>
          </w:p>
          <w:p>
            <w:pPr>
              <w:tabs>
                <w:tab w:val="left" w:pos="284"/>
              </w:tabs>
              <w:spacing w:after="0"/>
              <w:rPr>
                <w:rStyle w:val="33"/>
                <w:rFonts w:hint="eastAsia" w:ascii="宋体" w:hAnsi="宋体" w:eastAsia="宋体" w:cs="宋体"/>
                <w:b/>
                <w:color w:val="auto"/>
                <w:sz w:val="21"/>
                <w:szCs w:val="21"/>
              </w:rPr>
            </w:pPr>
            <w:r>
              <w:rPr>
                <w:rStyle w:val="33"/>
                <w:rFonts w:hint="eastAsia" w:ascii="宋体" w:hAnsi="宋体" w:eastAsia="宋体" w:cs="宋体"/>
                <w:b/>
                <w:color w:val="auto"/>
                <w:sz w:val="21"/>
                <w:szCs w:val="21"/>
              </w:rPr>
              <w:t>2、投标人应该如实填写，如投标人所投产品中无节能或环保产品的，请留空或删除此表！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7" w:hRule="atLeast"/>
        </w:trPr>
        <w:tc>
          <w:tcPr>
            <w:tcW w:w="8522" w:type="dxa"/>
            <w:gridSpan w:val="8"/>
            <w:vAlign w:val="center"/>
          </w:tcPr>
          <w:p>
            <w:pPr>
              <w:spacing w:after="0"/>
              <w:rPr>
                <w:rFonts w:hint="eastAsia" w:ascii="宋体" w:hAnsi="宋体" w:eastAsia="宋体" w:cs="宋体"/>
                <w:color w:val="auto"/>
                <w:sz w:val="21"/>
                <w:szCs w:val="21"/>
              </w:rPr>
            </w:pPr>
            <w:r>
              <w:rPr>
                <w:rFonts w:hint="eastAsia" w:ascii="宋体" w:hAnsi="宋体" w:eastAsia="宋体" w:cs="宋体"/>
                <w:color w:val="auto"/>
                <w:sz w:val="21"/>
                <w:szCs w:val="21"/>
              </w:rPr>
              <w:t>投标人代表签字：</w:t>
            </w:r>
          </w:p>
          <w:p>
            <w:pPr>
              <w:spacing w:after="0"/>
              <w:rPr>
                <w:rFonts w:hint="eastAsia" w:ascii="宋体" w:hAnsi="宋体" w:eastAsia="宋体" w:cs="宋体"/>
                <w:color w:val="auto"/>
                <w:sz w:val="21"/>
                <w:szCs w:val="21"/>
              </w:rPr>
            </w:pPr>
            <w:r>
              <w:rPr>
                <w:rFonts w:hint="eastAsia" w:ascii="宋体" w:hAnsi="宋体" w:eastAsia="宋体" w:cs="宋体"/>
                <w:color w:val="auto"/>
                <w:sz w:val="21"/>
                <w:szCs w:val="21"/>
              </w:rPr>
              <w:t>投标人盖章：</w:t>
            </w:r>
          </w:p>
          <w:p>
            <w:pPr>
              <w:tabs>
                <w:tab w:val="left" w:pos="284"/>
              </w:tabs>
              <w:spacing w:after="0"/>
              <w:rPr>
                <w:rStyle w:val="33"/>
                <w:rFonts w:hint="eastAsia" w:ascii="宋体" w:hAnsi="宋体" w:eastAsia="宋体" w:cs="宋体"/>
                <w:b/>
                <w:color w:val="auto"/>
                <w:sz w:val="21"/>
                <w:szCs w:val="21"/>
              </w:rPr>
            </w:pPr>
            <w:r>
              <w:rPr>
                <w:rFonts w:hint="eastAsia" w:ascii="宋体" w:hAnsi="宋体" w:eastAsia="宋体" w:cs="宋体"/>
                <w:color w:val="auto"/>
                <w:sz w:val="21"/>
                <w:szCs w:val="21"/>
              </w:rPr>
              <w:t>日期：</w:t>
            </w:r>
          </w:p>
        </w:tc>
      </w:tr>
    </w:tbl>
    <w:p>
      <w:pPr>
        <w:jc w:val="both"/>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pPr>
        <w:pStyle w:val="5"/>
        <w:widowControl w:val="0"/>
        <w:overflowPunct w:val="0"/>
        <w:spacing w:before="0" w:after="0" w:line="240" w:lineRule="auto"/>
        <w:rPr>
          <w:rFonts w:hint="eastAsia" w:ascii="宋体" w:hAnsi="宋体" w:eastAsia="宋体" w:cs="宋体"/>
          <w:color w:val="auto"/>
          <w:sz w:val="21"/>
          <w:szCs w:val="21"/>
        </w:rPr>
      </w:pPr>
      <w:bookmarkStart w:id="96" w:name="_Toc20013"/>
      <w:r>
        <w:rPr>
          <w:rFonts w:hint="eastAsia" w:ascii="宋体" w:hAnsi="宋体" w:eastAsia="宋体" w:cs="宋体"/>
          <w:color w:val="auto"/>
          <w:sz w:val="21"/>
          <w:szCs w:val="21"/>
        </w:rPr>
        <w:t>附件5. 法定代表人证明书格式</w:t>
      </w:r>
      <w:bookmarkEnd w:id="96"/>
    </w:p>
    <w:p>
      <w:pPr>
        <w:rPr>
          <w:rFonts w:hint="eastAsia" w:ascii="宋体" w:hAnsi="宋体" w:eastAsia="宋体" w:cs="宋体"/>
          <w:color w:val="auto"/>
        </w:rPr>
      </w:pPr>
    </w:p>
    <w:p>
      <w:pPr>
        <w:jc w:val="center"/>
        <w:rPr>
          <w:rFonts w:hint="eastAsia" w:ascii="宋体" w:hAnsi="宋体" w:eastAsia="宋体" w:cs="宋体"/>
          <w:color w:val="auto"/>
          <w:sz w:val="28"/>
          <w:szCs w:val="28"/>
        </w:rPr>
      </w:pPr>
      <w:r>
        <w:rPr>
          <w:rFonts w:hint="eastAsia" w:ascii="宋体" w:hAnsi="宋体" w:eastAsia="宋体" w:cs="宋体"/>
          <w:color w:val="auto"/>
          <w:sz w:val="28"/>
          <w:szCs w:val="28"/>
        </w:rPr>
        <w:t>法定代表人证明书</w:t>
      </w:r>
    </w:p>
    <w:p>
      <w:pPr>
        <w:pStyle w:val="26"/>
        <w:spacing w:line="420" w:lineRule="atLeast"/>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致：</w:t>
      </w:r>
      <w:r>
        <w:rPr>
          <w:rFonts w:hint="eastAsia" w:ascii="宋体" w:hAnsi="宋体" w:eastAsia="宋体" w:cs="宋体"/>
          <w:color w:val="auto"/>
          <w:sz w:val="21"/>
          <w:szCs w:val="21"/>
          <w:lang w:eastAsia="zh-CN"/>
        </w:rPr>
        <w:t>三方诚信招标有限公司</w:t>
      </w:r>
      <w:r>
        <w:rPr>
          <w:rFonts w:hint="eastAsia" w:ascii="宋体" w:hAnsi="宋体" w:eastAsia="宋体" w:cs="宋体"/>
          <w:color w:val="auto"/>
          <w:sz w:val="21"/>
          <w:szCs w:val="21"/>
        </w:rPr>
        <w:t>东莞分公司</w:t>
      </w:r>
    </w:p>
    <w:p>
      <w:pPr>
        <w:pStyle w:val="26"/>
        <w:spacing w:line="420" w:lineRule="atLeast"/>
        <w:ind w:firstLine="433"/>
        <w:rPr>
          <w:rFonts w:hint="eastAsia" w:ascii="宋体" w:hAnsi="宋体" w:eastAsia="宋体" w:cs="宋体"/>
          <w:color w:val="auto"/>
          <w:sz w:val="21"/>
          <w:szCs w:val="21"/>
        </w:rPr>
      </w:pPr>
    </w:p>
    <w:p>
      <w:pPr>
        <w:pStyle w:val="26"/>
        <w:spacing w:line="420" w:lineRule="atLeast"/>
        <w:ind w:firstLine="433"/>
        <w:rPr>
          <w:rFonts w:hint="eastAsia" w:ascii="宋体" w:hAnsi="宋体" w:eastAsia="宋体" w:cs="宋体"/>
          <w:color w:val="auto"/>
          <w:sz w:val="21"/>
          <w:szCs w:val="21"/>
          <w:u w:val="single"/>
        </w:rPr>
      </w:pPr>
      <w:r>
        <w:rPr>
          <w:rFonts w:hint="eastAsia" w:ascii="宋体" w:hAnsi="宋体" w:eastAsia="宋体" w:cs="宋体"/>
          <w:color w:val="auto"/>
          <w:sz w:val="21"/>
          <w:szCs w:val="21"/>
        </w:rPr>
        <w:t>投标人名称:</w:t>
      </w:r>
    </w:p>
    <w:p>
      <w:pPr>
        <w:pStyle w:val="26"/>
        <w:spacing w:line="420" w:lineRule="atLeast"/>
        <w:ind w:firstLine="433"/>
        <w:rPr>
          <w:rFonts w:hint="eastAsia" w:ascii="宋体" w:hAnsi="宋体" w:eastAsia="宋体" w:cs="宋体"/>
          <w:color w:val="auto"/>
          <w:sz w:val="21"/>
          <w:szCs w:val="21"/>
          <w:u w:val="single"/>
        </w:rPr>
      </w:pPr>
      <w:r>
        <w:rPr>
          <w:rFonts w:hint="eastAsia" w:ascii="宋体" w:hAnsi="宋体" w:eastAsia="宋体" w:cs="宋体"/>
          <w:color w:val="auto"/>
          <w:sz w:val="21"/>
          <w:szCs w:val="21"/>
        </w:rPr>
        <w:t>单 位 性质：</w:t>
      </w:r>
    </w:p>
    <w:p>
      <w:pPr>
        <w:pStyle w:val="26"/>
        <w:spacing w:line="420" w:lineRule="atLeast"/>
        <w:ind w:firstLine="433"/>
        <w:rPr>
          <w:rFonts w:hint="eastAsia" w:ascii="宋体" w:hAnsi="宋体" w:eastAsia="宋体" w:cs="宋体"/>
          <w:color w:val="auto"/>
          <w:sz w:val="21"/>
          <w:szCs w:val="21"/>
          <w:u w:val="single"/>
        </w:rPr>
      </w:pPr>
      <w:r>
        <w:rPr>
          <w:rFonts w:hint="eastAsia" w:ascii="宋体" w:hAnsi="宋体" w:eastAsia="宋体" w:cs="宋体"/>
          <w:color w:val="auto"/>
          <w:sz w:val="21"/>
          <w:szCs w:val="21"/>
        </w:rPr>
        <w:t>地      址：</w:t>
      </w:r>
    </w:p>
    <w:p>
      <w:pPr>
        <w:pStyle w:val="26"/>
        <w:spacing w:line="420" w:lineRule="atLeast"/>
        <w:ind w:firstLine="433"/>
        <w:rPr>
          <w:rFonts w:hint="eastAsia" w:ascii="宋体" w:hAnsi="宋体" w:eastAsia="宋体" w:cs="宋体"/>
          <w:color w:val="auto"/>
          <w:sz w:val="21"/>
          <w:szCs w:val="21"/>
        </w:rPr>
      </w:pPr>
      <w:r>
        <w:rPr>
          <w:rFonts w:hint="eastAsia" w:ascii="宋体" w:hAnsi="宋体" w:eastAsia="宋体" w:cs="宋体"/>
          <w:color w:val="auto"/>
          <w:sz w:val="21"/>
          <w:szCs w:val="21"/>
        </w:rPr>
        <w:t>成 立 时间：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p>
    <w:p>
      <w:pPr>
        <w:pStyle w:val="26"/>
        <w:spacing w:line="420" w:lineRule="atLeast"/>
        <w:ind w:firstLine="433"/>
        <w:rPr>
          <w:rFonts w:hint="eastAsia" w:ascii="宋体" w:hAnsi="宋体" w:eastAsia="宋体" w:cs="宋体"/>
          <w:color w:val="auto"/>
          <w:sz w:val="21"/>
          <w:szCs w:val="21"/>
        </w:rPr>
      </w:pPr>
      <w:r>
        <w:rPr>
          <w:rFonts w:hint="eastAsia" w:ascii="宋体" w:hAnsi="宋体" w:eastAsia="宋体" w:cs="宋体"/>
          <w:color w:val="auto"/>
          <w:sz w:val="21"/>
          <w:szCs w:val="21"/>
        </w:rPr>
        <w:t>经 营 期限：</w:t>
      </w:r>
      <w:r>
        <w:rPr>
          <w:rFonts w:hint="eastAsia" w:ascii="宋体" w:hAnsi="宋体" w:eastAsia="宋体" w:cs="宋体"/>
          <w:color w:val="auto"/>
          <w:sz w:val="21"/>
          <w:szCs w:val="21"/>
          <w:u w:val="single"/>
        </w:rPr>
        <w:t xml:space="preserve">                                      </w:t>
      </w:r>
    </w:p>
    <w:p>
      <w:pPr>
        <w:pStyle w:val="26"/>
        <w:spacing w:line="420" w:lineRule="atLeast"/>
        <w:ind w:firstLine="433"/>
        <w:rPr>
          <w:rFonts w:hint="eastAsia" w:ascii="宋体" w:hAnsi="宋体" w:eastAsia="宋体" w:cs="宋体"/>
          <w:color w:val="auto"/>
          <w:sz w:val="21"/>
          <w:szCs w:val="21"/>
        </w:rPr>
      </w:pPr>
      <w:r>
        <w:rPr>
          <w:rFonts w:hint="eastAsia" w:ascii="宋体" w:hAnsi="宋体" w:eastAsia="宋体" w:cs="宋体"/>
          <w:color w:val="auto"/>
          <w:sz w:val="21"/>
          <w:szCs w:val="21"/>
        </w:rPr>
        <w:t>姓名：</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性别：</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年龄：</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职务：</w:t>
      </w:r>
      <w:r>
        <w:rPr>
          <w:rFonts w:hint="eastAsia" w:ascii="宋体" w:hAnsi="宋体" w:eastAsia="宋体" w:cs="宋体"/>
          <w:color w:val="auto"/>
          <w:sz w:val="21"/>
          <w:szCs w:val="21"/>
          <w:u w:val="single"/>
        </w:rPr>
        <w:t xml:space="preserve">            </w:t>
      </w:r>
    </w:p>
    <w:p>
      <w:pPr>
        <w:pStyle w:val="26"/>
        <w:spacing w:line="420" w:lineRule="atLeast"/>
        <w:ind w:firstLine="433"/>
        <w:rPr>
          <w:rFonts w:hint="eastAsia" w:ascii="宋体" w:hAnsi="宋体" w:eastAsia="宋体" w:cs="宋体"/>
          <w:color w:val="auto"/>
          <w:sz w:val="21"/>
          <w:szCs w:val="21"/>
        </w:rPr>
      </w:pPr>
      <w:r>
        <w:rPr>
          <w:rFonts w:hint="eastAsia" w:ascii="宋体" w:hAnsi="宋体" w:eastAsia="宋体" w:cs="宋体"/>
          <w:color w:val="auto"/>
          <w:sz w:val="21"/>
          <w:szCs w:val="21"/>
        </w:rPr>
        <w:t>系</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（投标人名称）的法定代表人。</w:t>
      </w:r>
    </w:p>
    <w:p>
      <w:pPr>
        <w:spacing w:line="420" w:lineRule="atLeas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特此证明。</w:t>
      </w:r>
    </w:p>
    <w:p>
      <w:pPr>
        <w:pStyle w:val="26"/>
        <w:spacing w:line="500" w:lineRule="atLeast"/>
        <w:ind w:firstLine="3517" w:firstLineChars="1675"/>
        <w:rPr>
          <w:rFonts w:hint="eastAsia" w:ascii="宋体" w:hAnsi="宋体" w:eastAsia="宋体" w:cs="宋体"/>
          <w:color w:val="auto"/>
          <w:sz w:val="21"/>
          <w:szCs w:val="21"/>
        </w:rPr>
      </w:pPr>
    </w:p>
    <w:p>
      <w:pPr>
        <w:pStyle w:val="26"/>
        <w:spacing w:line="500" w:lineRule="atLeast"/>
        <w:ind w:firstLine="3517" w:firstLineChars="1675"/>
        <w:rPr>
          <w:rFonts w:hint="eastAsia" w:ascii="宋体" w:hAnsi="宋体" w:eastAsia="宋体" w:cs="宋体"/>
          <w:color w:val="auto"/>
          <w:sz w:val="21"/>
          <w:szCs w:val="21"/>
        </w:rPr>
      </w:pPr>
      <w:r>
        <w:rPr>
          <w:rFonts w:hint="eastAsia" w:ascii="宋体" w:hAnsi="宋体" w:eastAsia="宋体" w:cs="宋体"/>
          <w:color w:val="auto"/>
          <w:sz w:val="21"/>
          <w:szCs w:val="21"/>
        </w:rPr>
        <w:t>投标人名称（加盖公章）：</w:t>
      </w:r>
      <w:r>
        <w:rPr>
          <w:rFonts w:hint="eastAsia" w:ascii="宋体" w:hAnsi="宋体" w:eastAsia="宋体" w:cs="宋体"/>
          <w:color w:val="auto"/>
          <w:sz w:val="21"/>
          <w:szCs w:val="21"/>
          <w:u w:val="single"/>
        </w:rPr>
        <w:t xml:space="preserve">                  </w:t>
      </w:r>
    </w:p>
    <w:p>
      <w:pPr>
        <w:pStyle w:val="26"/>
        <w:spacing w:line="500" w:lineRule="atLeast"/>
        <w:ind w:firstLine="3517" w:firstLineChars="1675"/>
        <w:rPr>
          <w:rFonts w:hint="eastAsia" w:ascii="宋体" w:hAnsi="宋体" w:eastAsia="宋体" w:cs="宋体"/>
          <w:color w:val="auto"/>
          <w:sz w:val="21"/>
          <w:szCs w:val="21"/>
        </w:rPr>
      </w:pPr>
      <w:r>
        <w:rPr>
          <w:rFonts w:hint="eastAsia" w:ascii="宋体" w:hAnsi="宋体" w:eastAsia="宋体" w:cs="宋体"/>
          <w:color w:val="auto"/>
          <w:sz w:val="21"/>
          <w:szCs w:val="21"/>
        </w:rPr>
        <w:t>法定代表人（签名或盖私章）：</w:t>
      </w:r>
      <w:r>
        <w:rPr>
          <w:rFonts w:hint="eastAsia" w:ascii="宋体" w:hAnsi="宋体" w:eastAsia="宋体" w:cs="宋体"/>
          <w:color w:val="auto"/>
          <w:sz w:val="21"/>
          <w:szCs w:val="21"/>
          <w:u w:val="single"/>
        </w:rPr>
        <w:t xml:space="preserve">               </w:t>
      </w:r>
    </w:p>
    <w:p>
      <w:pPr>
        <w:pStyle w:val="26"/>
        <w:spacing w:line="500" w:lineRule="atLeast"/>
        <w:ind w:firstLine="3517" w:firstLineChars="1675"/>
        <w:rPr>
          <w:rFonts w:hint="eastAsia" w:ascii="宋体" w:hAnsi="宋体" w:eastAsia="宋体" w:cs="宋体"/>
          <w:color w:val="auto"/>
          <w:sz w:val="21"/>
          <w:szCs w:val="21"/>
        </w:rPr>
      </w:pPr>
      <w:r>
        <w:rPr>
          <w:rFonts w:hint="eastAsia" w:ascii="宋体" w:hAnsi="宋体" w:eastAsia="宋体" w:cs="宋体"/>
          <w:color w:val="auto"/>
          <w:sz w:val="21"/>
          <w:szCs w:val="21"/>
        </w:rPr>
        <w:t>法定代表人联系方式：</w:t>
      </w:r>
    </w:p>
    <w:p>
      <w:pPr>
        <w:pStyle w:val="26"/>
        <w:spacing w:line="500" w:lineRule="atLeast"/>
        <w:ind w:firstLine="3517" w:firstLineChars="1675"/>
        <w:rPr>
          <w:rFonts w:hint="eastAsia" w:ascii="宋体" w:hAnsi="宋体" w:eastAsia="宋体" w:cs="宋体"/>
          <w:color w:val="auto"/>
          <w:sz w:val="21"/>
          <w:szCs w:val="21"/>
          <w:u w:val="single"/>
        </w:rPr>
      </w:pPr>
      <w:r>
        <w:rPr>
          <w:rFonts w:hint="eastAsia" w:ascii="宋体" w:hAnsi="宋体" w:eastAsia="宋体" w:cs="宋体"/>
          <w:color w:val="auto"/>
          <w:sz w:val="21"/>
          <w:szCs w:val="21"/>
        </w:rPr>
        <w:t>身份证号码：</w:t>
      </w:r>
      <w:r>
        <w:rPr>
          <w:rFonts w:hint="eastAsia" w:ascii="宋体" w:hAnsi="宋体" w:eastAsia="宋体" w:cs="宋体"/>
          <w:color w:val="auto"/>
          <w:sz w:val="21"/>
          <w:szCs w:val="21"/>
          <w:u w:val="single"/>
        </w:rPr>
        <w:t xml:space="preserve">                              </w:t>
      </w:r>
    </w:p>
    <w:p>
      <w:pPr>
        <w:pStyle w:val="26"/>
        <w:spacing w:line="500" w:lineRule="atLeast"/>
        <w:ind w:firstLine="3507" w:firstLineChars="1670"/>
        <w:rPr>
          <w:rFonts w:hint="eastAsia" w:ascii="宋体" w:hAnsi="宋体" w:eastAsia="宋体" w:cs="宋体"/>
          <w:color w:val="auto"/>
          <w:sz w:val="21"/>
          <w:szCs w:val="21"/>
        </w:rPr>
      </w:pPr>
      <w:r>
        <w:rPr>
          <w:rFonts w:hint="eastAsia" w:ascii="宋体" w:hAnsi="宋体" w:eastAsia="宋体" w:cs="宋体"/>
          <w:color w:val="auto"/>
          <w:sz w:val="21"/>
          <w:szCs w:val="21"/>
        </w:rPr>
        <w:t>日     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p>
    <w:p>
      <w:pPr>
        <w:ind w:firstLine="420" w:firstLineChars="200"/>
        <w:rPr>
          <w:rFonts w:hint="eastAsia" w:ascii="宋体" w:hAnsi="宋体" w:eastAsia="宋体" w:cs="宋体"/>
          <w:color w:val="auto"/>
          <w:sz w:val="21"/>
          <w:szCs w:val="21"/>
        </w:rPr>
      </w:pP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注：法定代表人身份证明书需附法人代表身份证复印件。</w:t>
      </w:r>
    </w:p>
    <w:tbl>
      <w:tblPr>
        <w:tblStyle w:val="16"/>
        <w:tblW w:w="83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182"/>
        <w:gridCol w:w="4182"/>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517" w:hRule="atLeast"/>
          <w:jc w:val="center"/>
        </w:trPr>
        <w:tc>
          <w:tcPr>
            <w:tcW w:w="4182" w:type="dxa"/>
            <w:vAlign w:val="center"/>
          </w:tcPr>
          <w:p>
            <w:pPr>
              <w:pStyle w:val="26"/>
              <w:spacing w:line="460" w:lineRule="exact"/>
              <w:ind w:firstLine="0" w:firstLineChars="0"/>
              <w:jc w:val="center"/>
              <w:rPr>
                <w:rFonts w:hint="eastAsia" w:ascii="宋体" w:hAnsi="宋体" w:eastAsia="宋体" w:cs="宋体"/>
                <w:color w:val="auto"/>
                <w:sz w:val="22"/>
              </w:rPr>
            </w:pPr>
            <w:r>
              <w:rPr>
                <w:rFonts w:hint="eastAsia" w:ascii="宋体" w:hAnsi="宋体" w:eastAsia="宋体" w:cs="宋体"/>
                <w:color w:val="auto"/>
                <w:sz w:val="22"/>
              </w:rPr>
              <w:t>正面</w:t>
            </w:r>
          </w:p>
        </w:tc>
        <w:tc>
          <w:tcPr>
            <w:tcW w:w="4182" w:type="dxa"/>
            <w:vAlign w:val="center"/>
          </w:tcPr>
          <w:p>
            <w:pPr>
              <w:pStyle w:val="26"/>
              <w:spacing w:line="460" w:lineRule="exact"/>
              <w:ind w:firstLine="0" w:firstLineChars="0"/>
              <w:jc w:val="center"/>
              <w:rPr>
                <w:rFonts w:hint="eastAsia" w:ascii="宋体" w:hAnsi="宋体" w:eastAsia="宋体" w:cs="宋体"/>
                <w:color w:val="auto"/>
                <w:sz w:val="22"/>
              </w:rPr>
            </w:pPr>
            <w:r>
              <w:rPr>
                <w:rFonts w:hint="eastAsia" w:ascii="宋体" w:hAnsi="宋体" w:eastAsia="宋体" w:cs="宋体"/>
                <w:color w:val="auto"/>
                <w:sz w:val="22"/>
              </w:rPr>
              <w:t>背面</w:t>
            </w:r>
          </w:p>
        </w:tc>
      </w:tr>
    </w:tbl>
    <w:p>
      <w:pPr>
        <w:rPr>
          <w:rFonts w:hint="eastAsia" w:ascii="宋体" w:hAnsi="宋体" w:eastAsia="宋体" w:cs="宋体"/>
          <w:color w:val="auto"/>
        </w:rPr>
      </w:pPr>
    </w:p>
    <w:p>
      <w:pPr>
        <w:adjustRightInd/>
        <w:snapToGrid/>
        <w:spacing w:line="276" w:lineRule="auto"/>
        <w:rPr>
          <w:rFonts w:hint="eastAsia" w:ascii="宋体" w:hAnsi="宋体" w:eastAsia="宋体" w:cs="宋体"/>
          <w:b/>
          <w:bCs/>
          <w:color w:val="auto"/>
          <w:sz w:val="24"/>
          <w:szCs w:val="28"/>
        </w:rPr>
      </w:pPr>
      <w:r>
        <w:rPr>
          <w:rFonts w:hint="eastAsia" w:ascii="宋体" w:hAnsi="宋体" w:eastAsia="宋体" w:cs="宋体"/>
          <w:color w:val="auto"/>
          <w:sz w:val="24"/>
        </w:rPr>
        <w:br w:type="page"/>
      </w:r>
    </w:p>
    <w:p>
      <w:pPr>
        <w:pStyle w:val="5"/>
        <w:widowControl w:val="0"/>
        <w:overflowPunct w:val="0"/>
        <w:spacing w:before="0" w:after="0" w:line="240" w:lineRule="auto"/>
        <w:rPr>
          <w:rFonts w:hint="eastAsia" w:ascii="宋体" w:hAnsi="宋体" w:eastAsia="宋体" w:cs="宋体"/>
          <w:color w:val="auto"/>
        </w:rPr>
      </w:pPr>
      <w:bookmarkStart w:id="97" w:name="_Toc13402"/>
      <w:r>
        <w:rPr>
          <w:rFonts w:hint="eastAsia" w:ascii="宋体" w:hAnsi="宋体" w:eastAsia="宋体" w:cs="宋体"/>
          <w:color w:val="auto"/>
          <w:sz w:val="21"/>
          <w:szCs w:val="21"/>
        </w:rPr>
        <w:t>附件6.法定代表人授权书格式</w:t>
      </w:r>
      <w:bookmarkEnd w:id="97"/>
    </w:p>
    <w:p>
      <w:pPr>
        <w:rPr>
          <w:rFonts w:hint="eastAsia" w:ascii="宋体" w:hAnsi="宋体" w:eastAsia="宋体" w:cs="宋体"/>
          <w:color w:val="auto"/>
        </w:rPr>
      </w:pPr>
    </w:p>
    <w:p>
      <w:pPr>
        <w:jc w:val="center"/>
        <w:rPr>
          <w:rFonts w:hint="eastAsia" w:ascii="宋体" w:hAnsi="宋体" w:eastAsia="宋体" w:cs="宋体"/>
          <w:color w:val="auto"/>
          <w:sz w:val="28"/>
          <w:szCs w:val="28"/>
        </w:rPr>
      </w:pPr>
      <w:r>
        <w:rPr>
          <w:rFonts w:hint="eastAsia" w:ascii="宋体" w:hAnsi="宋体" w:eastAsia="宋体" w:cs="宋体"/>
          <w:color w:val="auto"/>
          <w:sz w:val="28"/>
          <w:szCs w:val="28"/>
        </w:rPr>
        <w:t>法定代表人授权书</w:t>
      </w:r>
    </w:p>
    <w:p>
      <w:pPr>
        <w:pStyle w:val="26"/>
        <w:spacing w:line="420" w:lineRule="atLeast"/>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致：</w:t>
      </w:r>
      <w:r>
        <w:rPr>
          <w:rFonts w:hint="eastAsia" w:ascii="宋体" w:hAnsi="宋体" w:eastAsia="宋体" w:cs="宋体"/>
          <w:color w:val="auto"/>
          <w:sz w:val="21"/>
          <w:szCs w:val="21"/>
          <w:lang w:eastAsia="zh-CN"/>
        </w:rPr>
        <w:t>三方诚信招标有限公司</w:t>
      </w:r>
      <w:r>
        <w:rPr>
          <w:rFonts w:hint="eastAsia" w:ascii="宋体" w:hAnsi="宋体" w:eastAsia="宋体" w:cs="宋体"/>
          <w:color w:val="auto"/>
          <w:sz w:val="21"/>
          <w:szCs w:val="21"/>
        </w:rPr>
        <w:t>东莞分公司</w:t>
      </w:r>
    </w:p>
    <w:p>
      <w:pPr>
        <w:pStyle w:val="26"/>
        <w:spacing w:line="420" w:lineRule="atLeast"/>
        <w:ind w:firstLine="433"/>
        <w:rPr>
          <w:rFonts w:hint="eastAsia" w:ascii="宋体" w:hAnsi="宋体" w:eastAsia="宋体" w:cs="宋体"/>
          <w:color w:val="auto"/>
          <w:sz w:val="21"/>
          <w:szCs w:val="21"/>
        </w:rPr>
      </w:pPr>
    </w:p>
    <w:p>
      <w:pPr>
        <w:spacing w:after="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本授权书声明：注册于</w:t>
      </w:r>
      <w:r>
        <w:rPr>
          <w:rFonts w:hint="eastAsia" w:ascii="宋体" w:hAnsi="宋体" w:eastAsia="宋体" w:cs="宋体"/>
          <w:color w:val="auto"/>
          <w:sz w:val="21"/>
          <w:szCs w:val="21"/>
          <w:u w:val="single"/>
        </w:rPr>
        <w:t>（国家或地区的名称）</w:t>
      </w:r>
      <w:r>
        <w:rPr>
          <w:rFonts w:hint="eastAsia" w:ascii="宋体" w:hAnsi="宋体" w:eastAsia="宋体" w:cs="宋体"/>
          <w:color w:val="auto"/>
          <w:sz w:val="21"/>
          <w:szCs w:val="21"/>
        </w:rPr>
        <w:t>的</w:t>
      </w:r>
      <w:r>
        <w:rPr>
          <w:rFonts w:hint="eastAsia" w:ascii="宋体" w:hAnsi="宋体" w:eastAsia="宋体" w:cs="宋体"/>
          <w:color w:val="auto"/>
          <w:sz w:val="21"/>
          <w:szCs w:val="21"/>
          <w:u w:val="single"/>
        </w:rPr>
        <w:t>（单位名称）</w:t>
      </w:r>
      <w:r>
        <w:rPr>
          <w:rFonts w:hint="eastAsia" w:ascii="宋体" w:hAnsi="宋体" w:eastAsia="宋体" w:cs="宋体"/>
          <w:color w:val="auto"/>
          <w:sz w:val="21"/>
          <w:szCs w:val="21"/>
        </w:rPr>
        <w:t>的在下面签字的</w:t>
      </w:r>
      <w:r>
        <w:rPr>
          <w:rFonts w:hint="eastAsia" w:ascii="宋体" w:hAnsi="宋体" w:eastAsia="宋体" w:cs="宋体"/>
          <w:color w:val="auto"/>
          <w:sz w:val="21"/>
          <w:szCs w:val="21"/>
          <w:u w:val="single"/>
        </w:rPr>
        <w:t>（法定代表人姓名、职务）</w:t>
      </w:r>
      <w:r>
        <w:rPr>
          <w:rFonts w:hint="eastAsia" w:ascii="宋体" w:hAnsi="宋体" w:eastAsia="宋体" w:cs="宋体"/>
          <w:color w:val="auto"/>
          <w:sz w:val="21"/>
          <w:szCs w:val="21"/>
        </w:rPr>
        <w:t>代表本单位授权</w:t>
      </w:r>
      <w:r>
        <w:rPr>
          <w:rFonts w:hint="eastAsia" w:ascii="宋体" w:hAnsi="宋体" w:eastAsia="宋体" w:cs="宋体"/>
          <w:color w:val="auto"/>
          <w:sz w:val="21"/>
          <w:szCs w:val="21"/>
          <w:u w:val="single"/>
        </w:rPr>
        <w:t>（单位名称）</w:t>
      </w:r>
      <w:r>
        <w:rPr>
          <w:rFonts w:hint="eastAsia" w:ascii="宋体" w:hAnsi="宋体" w:eastAsia="宋体" w:cs="宋体"/>
          <w:color w:val="auto"/>
          <w:sz w:val="21"/>
          <w:szCs w:val="21"/>
        </w:rPr>
        <w:t>的在下面签字的</w:t>
      </w:r>
      <w:r>
        <w:rPr>
          <w:rFonts w:hint="eastAsia" w:ascii="宋体" w:hAnsi="宋体" w:eastAsia="宋体" w:cs="宋体"/>
          <w:color w:val="auto"/>
          <w:sz w:val="21"/>
          <w:szCs w:val="21"/>
          <w:u w:val="single"/>
        </w:rPr>
        <w:t>（被授权人的姓名、职务）</w:t>
      </w:r>
      <w:r>
        <w:rPr>
          <w:rFonts w:hint="eastAsia" w:ascii="宋体" w:hAnsi="宋体" w:eastAsia="宋体" w:cs="宋体"/>
          <w:color w:val="auto"/>
          <w:sz w:val="21"/>
          <w:szCs w:val="21"/>
        </w:rPr>
        <w:t>为本单位的合法代理人，就</w:t>
      </w:r>
      <w:r>
        <w:rPr>
          <w:rFonts w:hint="eastAsia" w:ascii="宋体" w:hAnsi="宋体" w:eastAsia="宋体" w:cs="宋体"/>
          <w:color w:val="auto"/>
          <w:sz w:val="21"/>
          <w:szCs w:val="21"/>
          <w:u w:val="single"/>
        </w:rPr>
        <w:t>（项目名称）</w:t>
      </w:r>
      <w:r>
        <w:rPr>
          <w:rFonts w:hint="eastAsia" w:ascii="宋体" w:hAnsi="宋体" w:eastAsia="宋体" w:cs="宋体"/>
          <w:color w:val="auto"/>
          <w:sz w:val="21"/>
          <w:szCs w:val="21"/>
        </w:rPr>
        <w:t>投标及参加项目谈判，以本单位名义处理一切与之有关的事务。</w:t>
      </w:r>
    </w:p>
    <w:p>
      <w:pPr>
        <w:spacing w:after="0" w:line="360" w:lineRule="auto"/>
        <w:ind w:firstLine="315" w:firstLineChars="150"/>
        <w:rPr>
          <w:rFonts w:hint="eastAsia" w:ascii="宋体" w:hAnsi="宋体" w:eastAsia="宋体" w:cs="宋体"/>
          <w:color w:val="auto"/>
          <w:sz w:val="21"/>
          <w:szCs w:val="21"/>
        </w:rPr>
      </w:pPr>
      <w:r>
        <w:rPr>
          <w:rFonts w:hint="eastAsia" w:ascii="宋体" w:hAnsi="宋体" w:eastAsia="宋体" w:cs="宋体"/>
          <w:color w:val="auto"/>
          <w:sz w:val="21"/>
          <w:szCs w:val="21"/>
        </w:rPr>
        <w:t>本授权书于</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w:t>
      </w:r>
      <w:r>
        <w:rPr>
          <w:rFonts w:hint="eastAsia" w:ascii="宋体" w:hAnsi="宋体" w:eastAsia="宋体" w:cs="宋体"/>
          <w:color w:val="auto"/>
          <w:sz w:val="21"/>
          <w:szCs w:val="21"/>
        </w:rPr>
        <w:t>日签字生效，特此声明。</w:t>
      </w:r>
    </w:p>
    <w:p>
      <w:pPr>
        <w:pStyle w:val="26"/>
        <w:spacing w:line="500" w:lineRule="atLeast"/>
        <w:ind w:firstLine="3517" w:firstLineChars="1675"/>
        <w:rPr>
          <w:rFonts w:hint="eastAsia" w:ascii="宋体" w:hAnsi="宋体" w:eastAsia="宋体" w:cs="宋体"/>
          <w:color w:val="auto"/>
          <w:sz w:val="21"/>
          <w:szCs w:val="21"/>
        </w:rPr>
      </w:pPr>
    </w:p>
    <w:p>
      <w:pPr>
        <w:pStyle w:val="26"/>
        <w:spacing w:line="500" w:lineRule="atLeast"/>
        <w:ind w:firstLine="3517" w:firstLineChars="1675"/>
        <w:rPr>
          <w:rFonts w:hint="eastAsia" w:ascii="宋体" w:hAnsi="宋体" w:eastAsia="宋体" w:cs="宋体"/>
          <w:color w:val="auto"/>
          <w:sz w:val="21"/>
          <w:szCs w:val="21"/>
        </w:rPr>
      </w:pPr>
      <w:r>
        <w:rPr>
          <w:rFonts w:hint="eastAsia" w:ascii="宋体" w:hAnsi="宋体" w:eastAsia="宋体" w:cs="宋体"/>
          <w:color w:val="auto"/>
          <w:sz w:val="21"/>
          <w:szCs w:val="21"/>
        </w:rPr>
        <w:t>投标人名称（加盖公章）：</w:t>
      </w:r>
      <w:r>
        <w:rPr>
          <w:rFonts w:hint="eastAsia" w:ascii="宋体" w:hAnsi="宋体" w:eastAsia="宋体" w:cs="宋体"/>
          <w:color w:val="auto"/>
          <w:sz w:val="21"/>
          <w:szCs w:val="21"/>
          <w:u w:val="single"/>
        </w:rPr>
        <w:t xml:space="preserve">                 </w:t>
      </w:r>
    </w:p>
    <w:p>
      <w:pPr>
        <w:pStyle w:val="26"/>
        <w:spacing w:line="500" w:lineRule="atLeast"/>
        <w:ind w:firstLine="3517" w:firstLineChars="1675"/>
        <w:rPr>
          <w:rFonts w:hint="eastAsia" w:ascii="宋体" w:hAnsi="宋体" w:eastAsia="宋体" w:cs="宋体"/>
          <w:color w:val="auto"/>
          <w:sz w:val="21"/>
          <w:szCs w:val="21"/>
          <w:u w:val="single"/>
        </w:rPr>
      </w:pPr>
      <w:r>
        <w:rPr>
          <w:rFonts w:hint="eastAsia" w:ascii="宋体" w:hAnsi="宋体" w:eastAsia="宋体" w:cs="宋体"/>
          <w:color w:val="auto"/>
          <w:sz w:val="21"/>
          <w:szCs w:val="21"/>
        </w:rPr>
        <w:t>法定代表人签字（签名或盖私章）：</w:t>
      </w:r>
      <w:r>
        <w:rPr>
          <w:rFonts w:hint="eastAsia" w:ascii="宋体" w:hAnsi="宋体" w:eastAsia="宋体" w:cs="宋体"/>
          <w:color w:val="auto"/>
          <w:sz w:val="21"/>
          <w:szCs w:val="21"/>
          <w:u w:val="single"/>
        </w:rPr>
        <w:t xml:space="preserve">               </w:t>
      </w:r>
    </w:p>
    <w:p>
      <w:pPr>
        <w:pStyle w:val="26"/>
        <w:spacing w:line="500" w:lineRule="atLeast"/>
        <w:ind w:firstLine="3517" w:firstLineChars="1675"/>
        <w:rPr>
          <w:rFonts w:hint="eastAsia" w:ascii="宋体" w:hAnsi="宋体" w:eastAsia="宋体" w:cs="宋体"/>
          <w:color w:val="auto"/>
          <w:sz w:val="21"/>
          <w:szCs w:val="21"/>
        </w:rPr>
      </w:pPr>
      <w:r>
        <w:rPr>
          <w:rFonts w:hint="eastAsia" w:ascii="宋体" w:hAnsi="宋体" w:eastAsia="宋体" w:cs="宋体"/>
          <w:color w:val="auto"/>
          <w:sz w:val="21"/>
          <w:szCs w:val="21"/>
        </w:rPr>
        <w:t>被授权人签字：</w:t>
      </w:r>
    </w:p>
    <w:p>
      <w:pPr>
        <w:pStyle w:val="26"/>
        <w:spacing w:line="500" w:lineRule="atLeast"/>
        <w:ind w:firstLine="3517" w:firstLineChars="1675"/>
        <w:rPr>
          <w:rFonts w:hint="eastAsia" w:ascii="宋体" w:hAnsi="宋体" w:eastAsia="宋体" w:cs="宋体"/>
          <w:color w:val="auto"/>
          <w:sz w:val="21"/>
          <w:szCs w:val="21"/>
          <w:u w:val="single"/>
        </w:rPr>
      </w:pPr>
      <w:r>
        <w:rPr>
          <w:rFonts w:hint="eastAsia" w:ascii="宋体" w:hAnsi="宋体" w:eastAsia="宋体" w:cs="宋体"/>
          <w:color w:val="auto"/>
          <w:sz w:val="21"/>
          <w:szCs w:val="21"/>
        </w:rPr>
        <w:t>职务：</w:t>
      </w:r>
      <w:r>
        <w:rPr>
          <w:rFonts w:hint="eastAsia" w:ascii="宋体" w:hAnsi="宋体" w:eastAsia="宋体" w:cs="宋体"/>
          <w:color w:val="auto"/>
          <w:sz w:val="21"/>
          <w:szCs w:val="21"/>
          <w:u w:val="single"/>
        </w:rPr>
        <w:t xml:space="preserve">   </w:t>
      </w:r>
    </w:p>
    <w:p>
      <w:pPr>
        <w:pStyle w:val="26"/>
        <w:spacing w:line="500" w:lineRule="atLeast"/>
        <w:ind w:firstLine="3517" w:firstLineChars="1675"/>
        <w:rPr>
          <w:rFonts w:hint="eastAsia" w:ascii="宋体" w:hAnsi="宋体" w:eastAsia="宋体" w:cs="宋体"/>
          <w:color w:val="auto"/>
          <w:sz w:val="21"/>
          <w:szCs w:val="21"/>
        </w:rPr>
      </w:pPr>
      <w:r>
        <w:rPr>
          <w:rFonts w:hint="eastAsia" w:ascii="宋体" w:hAnsi="宋体" w:eastAsia="宋体" w:cs="宋体"/>
          <w:color w:val="auto"/>
          <w:sz w:val="21"/>
          <w:szCs w:val="21"/>
        </w:rPr>
        <w:t xml:space="preserve">移动电话： </w:t>
      </w:r>
    </w:p>
    <w:p>
      <w:pPr>
        <w:pStyle w:val="26"/>
        <w:spacing w:line="500" w:lineRule="atLeast"/>
        <w:ind w:firstLine="3517" w:firstLineChars="1675"/>
        <w:rPr>
          <w:rFonts w:hint="eastAsia" w:ascii="宋体" w:hAnsi="宋体" w:eastAsia="宋体" w:cs="宋体"/>
          <w:color w:val="auto"/>
          <w:sz w:val="21"/>
          <w:szCs w:val="21"/>
        </w:rPr>
      </w:pPr>
      <w:r>
        <w:rPr>
          <w:rFonts w:hint="eastAsia" w:ascii="宋体" w:hAnsi="宋体" w:eastAsia="宋体" w:cs="宋体"/>
          <w:color w:val="auto"/>
          <w:sz w:val="21"/>
          <w:szCs w:val="21"/>
        </w:rPr>
        <w:t>详细通讯地址：</w:t>
      </w:r>
    </w:p>
    <w:p>
      <w:pPr>
        <w:pStyle w:val="26"/>
        <w:spacing w:line="500" w:lineRule="atLeast"/>
        <w:ind w:firstLine="3517" w:firstLineChars="1675"/>
        <w:rPr>
          <w:rFonts w:hint="eastAsia" w:ascii="宋体" w:hAnsi="宋体" w:eastAsia="宋体" w:cs="宋体"/>
          <w:color w:val="auto"/>
          <w:sz w:val="21"/>
          <w:szCs w:val="21"/>
        </w:rPr>
      </w:pPr>
      <w:r>
        <w:rPr>
          <w:rFonts w:hint="eastAsia" w:ascii="宋体" w:hAnsi="宋体" w:eastAsia="宋体" w:cs="宋体"/>
          <w:color w:val="auto"/>
          <w:sz w:val="21"/>
          <w:szCs w:val="21"/>
        </w:rPr>
        <w:t xml:space="preserve">邮箱：                          </w:t>
      </w:r>
    </w:p>
    <w:p>
      <w:pPr>
        <w:pStyle w:val="26"/>
        <w:spacing w:line="500" w:lineRule="atLeast"/>
        <w:ind w:firstLine="3507" w:firstLineChars="1670"/>
        <w:rPr>
          <w:rFonts w:hint="eastAsia" w:ascii="宋体" w:hAnsi="宋体" w:eastAsia="宋体" w:cs="宋体"/>
          <w:color w:val="auto"/>
          <w:sz w:val="21"/>
          <w:szCs w:val="21"/>
        </w:rPr>
      </w:pPr>
      <w:r>
        <w:rPr>
          <w:rFonts w:hint="eastAsia" w:ascii="宋体" w:hAnsi="宋体" w:eastAsia="宋体" w:cs="宋体"/>
          <w:color w:val="auto"/>
          <w:sz w:val="21"/>
          <w:szCs w:val="21"/>
        </w:rPr>
        <w:t>日     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p>
    <w:p>
      <w:pPr>
        <w:pStyle w:val="26"/>
        <w:spacing w:line="460" w:lineRule="exact"/>
        <w:ind w:firstLine="433"/>
        <w:rPr>
          <w:rFonts w:hint="eastAsia" w:ascii="宋体" w:hAnsi="宋体" w:eastAsia="宋体" w:cs="宋体"/>
          <w:color w:val="auto"/>
          <w:sz w:val="21"/>
          <w:szCs w:val="21"/>
        </w:rPr>
      </w:pPr>
    </w:p>
    <w:p>
      <w:pPr>
        <w:ind w:firstLine="420" w:firstLineChars="200"/>
        <w:rPr>
          <w:rFonts w:hint="eastAsia" w:ascii="宋体" w:hAnsi="宋体" w:eastAsia="宋体" w:cs="宋体"/>
          <w:color w:val="auto"/>
        </w:rPr>
      </w:pPr>
      <w:r>
        <w:rPr>
          <w:rFonts w:hint="eastAsia" w:ascii="宋体" w:hAnsi="宋体" w:eastAsia="宋体" w:cs="宋体"/>
          <w:color w:val="auto"/>
          <w:sz w:val="21"/>
          <w:szCs w:val="21"/>
        </w:rPr>
        <w:t>须附：被授权人身份证复印件。</w:t>
      </w:r>
    </w:p>
    <w:tbl>
      <w:tblPr>
        <w:tblStyle w:val="16"/>
        <w:tblW w:w="84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32"/>
        <w:gridCol w:w="4232"/>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661" w:hRule="atLeast"/>
          <w:jc w:val="center"/>
        </w:trPr>
        <w:tc>
          <w:tcPr>
            <w:tcW w:w="4232" w:type="dxa"/>
            <w:vAlign w:val="center"/>
          </w:tcPr>
          <w:p>
            <w:pPr>
              <w:pStyle w:val="26"/>
              <w:spacing w:line="460" w:lineRule="exact"/>
              <w:ind w:firstLine="0" w:firstLineChars="0"/>
              <w:jc w:val="center"/>
              <w:rPr>
                <w:rFonts w:hint="eastAsia" w:ascii="宋体" w:hAnsi="宋体" w:eastAsia="宋体" w:cs="宋体"/>
                <w:color w:val="auto"/>
                <w:sz w:val="22"/>
              </w:rPr>
            </w:pPr>
            <w:r>
              <w:rPr>
                <w:rFonts w:hint="eastAsia" w:ascii="宋体" w:hAnsi="宋体" w:eastAsia="宋体" w:cs="宋体"/>
                <w:color w:val="auto"/>
                <w:sz w:val="22"/>
              </w:rPr>
              <w:t>正面</w:t>
            </w:r>
          </w:p>
        </w:tc>
        <w:tc>
          <w:tcPr>
            <w:tcW w:w="4232" w:type="dxa"/>
            <w:vAlign w:val="center"/>
          </w:tcPr>
          <w:p>
            <w:pPr>
              <w:pStyle w:val="26"/>
              <w:spacing w:line="460" w:lineRule="exact"/>
              <w:ind w:firstLine="0" w:firstLineChars="0"/>
              <w:jc w:val="center"/>
              <w:rPr>
                <w:rFonts w:hint="eastAsia" w:ascii="宋体" w:hAnsi="宋体" w:eastAsia="宋体" w:cs="宋体"/>
                <w:color w:val="auto"/>
                <w:sz w:val="22"/>
              </w:rPr>
            </w:pPr>
            <w:r>
              <w:rPr>
                <w:rFonts w:hint="eastAsia" w:ascii="宋体" w:hAnsi="宋体" w:eastAsia="宋体" w:cs="宋体"/>
                <w:color w:val="auto"/>
                <w:sz w:val="22"/>
              </w:rPr>
              <w:t>背面</w:t>
            </w:r>
          </w:p>
        </w:tc>
      </w:tr>
    </w:tbl>
    <w:p>
      <w:pPr>
        <w:adjustRightInd/>
        <w:snapToGrid/>
        <w:spacing w:line="276" w:lineRule="auto"/>
        <w:rPr>
          <w:rFonts w:hint="eastAsia" w:ascii="宋体" w:hAnsi="宋体" w:eastAsia="宋体" w:cs="宋体"/>
          <w:color w:val="auto"/>
        </w:rPr>
      </w:pPr>
      <w:bookmarkStart w:id="98" w:name="_Toc22486"/>
      <w:r>
        <w:rPr>
          <w:rFonts w:hint="eastAsia" w:ascii="宋体" w:hAnsi="宋体" w:eastAsia="宋体" w:cs="宋体"/>
          <w:color w:val="auto"/>
          <w:sz w:val="21"/>
          <w:szCs w:val="21"/>
        </w:rPr>
        <w:br w:type="page"/>
      </w:r>
    </w:p>
    <w:p>
      <w:pPr>
        <w:pStyle w:val="5"/>
        <w:widowControl w:val="0"/>
        <w:overflowPunct w:val="0"/>
        <w:spacing w:before="0" w:after="0" w:line="240" w:lineRule="auto"/>
        <w:rPr>
          <w:rFonts w:hint="eastAsia" w:ascii="宋体" w:hAnsi="宋体" w:eastAsia="宋体" w:cs="宋体"/>
          <w:color w:val="auto"/>
          <w:sz w:val="21"/>
          <w:szCs w:val="21"/>
        </w:rPr>
      </w:pPr>
      <w:bookmarkStart w:id="99" w:name="_Toc20880"/>
      <w:r>
        <w:rPr>
          <w:rFonts w:hint="eastAsia" w:ascii="宋体" w:hAnsi="宋体" w:eastAsia="宋体" w:cs="宋体"/>
          <w:color w:val="auto"/>
          <w:sz w:val="21"/>
          <w:szCs w:val="21"/>
        </w:rPr>
        <w:t>附件7.资格申明</w:t>
      </w:r>
      <w:bookmarkEnd w:id="99"/>
    </w:p>
    <w:p>
      <w:pPr>
        <w:jc w:val="center"/>
        <w:rPr>
          <w:rFonts w:hint="eastAsia" w:ascii="宋体" w:hAnsi="宋体" w:eastAsia="宋体" w:cs="宋体"/>
          <w:color w:val="auto"/>
          <w:sz w:val="28"/>
          <w:szCs w:val="28"/>
        </w:rPr>
      </w:pPr>
      <w:r>
        <w:rPr>
          <w:rFonts w:hint="eastAsia" w:ascii="宋体" w:hAnsi="宋体" w:eastAsia="宋体" w:cs="宋体"/>
          <w:color w:val="auto"/>
          <w:sz w:val="28"/>
          <w:szCs w:val="28"/>
        </w:rPr>
        <w:t>资格申明</w:t>
      </w:r>
    </w:p>
    <w:p>
      <w:pPr>
        <w:pStyle w:val="26"/>
        <w:spacing w:line="420" w:lineRule="atLeast"/>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三方诚信招标有限公司</w:t>
      </w:r>
      <w:r>
        <w:rPr>
          <w:rFonts w:hint="eastAsia" w:ascii="宋体" w:hAnsi="宋体" w:eastAsia="宋体" w:cs="宋体"/>
          <w:color w:val="auto"/>
          <w:sz w:val="21"/>
          <w:szCs w:val="21"/>
        </w:rPr>
        <w:t>东莞分公司：</w:t>
      </w:r>
    </w:p>
    <w:p>
      <w:pPr>
        <w:spacing w:after="0" w:line="360" w:lineRule="auto"/>
        <w:ind w:firstLine="420" w:firstLineChars="200"/>
        <w:rPr>
          <w:rFonts w:hint="eastAsia" w:ascii="宋体" w:hAnsi="宋体" w:eastAsia="宋体" w:cs="宋体"/>
          <w:color w:val="auto"/>
          <w:sz w:val="21"/>
          <w:szCs w:val="21"/>
        </w:rPr>
      </w:pPr>
    </w:p>
    <w:p>
      <w:pPr>
        <w:spacing w:after="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我方愿响应贵方关于（项目名称）（</w:t>
      </w:r>
      <w:r>
        <w:rPr>
          <w:rFonts w:hint="eastAsia" w:ascii="宋体" w:hAnsi="宋体" w:eastAsia="宋体" w:cs="宋体"/>
          <w:color w:val="auto"/>
          <w:sz w:val="21"/>
          <w:szCs w:val="21"/>
          <w:lang w:eastAsia="zh-CN"/>
        </w:rPr>
        <w:t>采购项目编号</w:t>
      </w:r>
      <w:r>
        <w:rPr>
          <w:rFonts w:hint="eastAsia" w:ascii="宋体" w:hAnsi="宋体" w:eastAsia="宋体" w:cs="宋体"/>
          <w:color w:val="auto"/>
          <w:sz w:val="21"/>
          <w:szCs w:val="21"/>
        </w:rPr>
        <w:t>）的投标邀请，参与投标，提供用户需求书中规定的货物及相关服务，并按招标文件要求提交所附资格文件且声明和保证如下：</w:t>
      </w:r>
    </w:p>
    <w:p>
      <w:pPr>
        <w:spacing w:after="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一、我方具备</w:t>
      </w:r>
      <w:r>
        <w:rPr>
          <w:rFonts w:hint="eastAsia" w:ascii="宋体" w:hAnsi="宋体" w:eastAsia="宋体" w:cs="宋体"/>
          <w:color w:val="auto"/>
          <w:sz w:val="21"/>
          <w:szCs w:val="21"/>
          <w:lang w:eastAsia="zh-CN"/>
        </w:rPr>
        <w:t>投标人邀请中所要求得</w:t>
      </w:r>
      <w:r>
        <w:rPr>
          <w:rFonts w:hint="eastAsia" w:ascii="宋体" w:hAnsi="宋体" w:eastAsia="宋体" w:cs="宋体"/>
          <w:color w:val="auto"/>
          <w:sz w:val="21"/>
          <w:szCs w:val="21"/>
        </w:rPr>
        <w:t>资格条件，已清楚招标文件所有要求及有关规定；并承诺参加本次政府采购活动中，如有违法、违规、弄虚作假行为，所造成的损失、不良后果及法律责任，一律由我方承担；</w:t>
      </w:r>
    </w:p>
    <w:p>
      <w:pPr>
        <w:spacing w:after="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二、我方依法注册，在法律上、财务上和运作上完全独立于（采购人名称）（采购人）及</w:t>
      </w:r>
      <w:r>
        <w:rPr>
          <w:rFonts w:hint="eastAsia" w:ascii="宋体" w:hAnsi="宋体" w:eastAsia="宋体" w:cs="宋体"/>
          <w:color w:val="auto"/>
          <w:sz w:val="21"/>
          <w:szCs w:val="21"/>
          <w:lang w:eastAsia="zh-CN"/>
        </w:rPr>
        <w:t>三方诚信招标有限公司</w:t>
      </w:r>
      <w:r>
        <w:rPr>
          <w:rFonts w:hint="eastAsia" w:ascii="宋体" w:hAnsi="宋体" w:eastAsia="宋体" w:cs="宋体"/>
          <w:color w:val="auto"/>
          <w:sz w:val="21"/>
          <w:szCs w:val="21"/>
        </w:rPr>
        <w:t>东莞分公司（采购代理机构）。</w:t>
      </w:r>
    </w:p>
    <w:p>
      <w:pPr>
        <w:pStyle w:val="26"/>
        <w:spacing w:line="500" w:lineRule="atLeast"/>
        <w:ind w:firstLine="3517" w:firstLineChars="1675"/>
        <w:rPr>
          <w:rFonts w:hint="eastAsia" w:ascii="宋体" w:hAnsi="宋体" w:eastAsia="宋体" w:cs="宋体"/>
          <w:color w:val="auto"/>
          <w:sz w:val="21"/>
          <w:szCs w:val="21"/>
        </w:rPr>
      </w:pPr>
    </w:p>
    <w:p>
      <w:pPr>
        <w:pStyle w:val="26"/>
        <w:spacing w:line="500" w:lineRule="atLeast"/>
        <w:ind w:firstLine="3517" w:firstLineChars="1675"/>
        <w:rPr>
          <w:rFonts w:hint="eastAsia" w:ascii="宋体" w:hAnsi="宋体" w:eastAsia="宋体" w:cs="宋体"/>
          <w:color w:val="auto"/>
          <w:sz w:val="21"/>
          <w:szCs w:val="21"/>
        </w:rPr>
      </w:pPr>
    </w:p>
    <w:p>
      <w:pPr>
        <w:pStyle w:val="26"/>
        <w:spacing w:line="500" w:lineRule="atLeast"/>
        <w:ind w:firstLine="433"/>
        <w:rPr>
          <w:rFonts w:hint="eastAsia" w:ascii="宋体" w:hAnsi="宋体" w:eastAsia="宋体" w:cs="宋体"/>
          <w:color w:val="auto"/>
          <w:sz w:val="21"/>
          <w:szCs w:val="21"/>
        </w:rPr>
      </w:pPr>
      <w:r>
        <w:rPr>
          <w:rFonts w:hint="eastAsia" w:ascii="宋体" w:hAnsi="宋体" w:eastAsia="宋体" w:cs="宋体"/>
          <w:color w:val="auto"/>
          <w:sz w:val="21"/>
          <w:szCs w:val="21"/>
        </w:rPr>
        <w:t>投标人名称（加盖公章）：</w:t>
      </w:r>
      <w:r>
        <w:rPr>
          <w:rFonts w:hint="eastAsia" w:ascii="宋体" w:hAnsi="宋体" w:eastAsia="宋体" w:cs="宋体"/>
          <w:color w:val="auto"/>
          <w:sz w:val="21"/>
          <w:szCs w:val="21"/>
          <w:u w:val="single"/>
        </w:rPr>
        <w:t xml:space="preserve">                 </w:t>
      </w:r>
    </w:p>
    <w:p>
      <w:pPr>
        <w:pStyle w:val="26"/>
        <w:spacing w:line="500" w:lineRule="atLeast"/>
        <w:ind w:firstLine="433"/>
        <w:rPr>
          <w:rFonts w:hint="eastAsia" w:ascii="宋体" w:hAnsi="宋体" w:eastAsia="宋体" w:cs="宋体"/>
          <w:color w:val="auto"/>
          <w:sz w:val="21"/>
          <w:szCs w:val="21"/>
        </w:rPr>
      </w:pPr>
      <w:r>
        <w:rPr>
          <w:rFonts w:hint="eastAsia" w:ascii="宋体" w:hAnsi="宋体" w:eastAsia="宋体" w:cs="宋体"/>
          <w:color w:val="auto"/>
          <w:sz w:val="21"/>
          <w:szCs w:val="21"/>
        </w:rPr>
        <w:t>法定代表人签字（签名或盖私章）：</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w:t>
      </w:r>
    </w:p>
    <w:p>
      <w:pPr>
        <w:pStyle w:val="26"/>
        <w:spacing w:line="500" w:lineRule="atLeast"/>
        <w:ind w:firstLine="433"/>
        <w:rPr>
          <w:rFonts w:hint="eastAsia" w:ascii="宋体" w:hAnsi="宋体" w:eastAsia="宋体" w:cs="宋体"/>
          <w:color w:val="auto"/>
          <w:sz w:val="21"/>
          <w:szCs w:val="21"/>
        </w:rPr>
      </w:pPr>
      <w:r>
        <w:rPr>
          <w:rFonts w:hint="eastAsia" w:ascii="宋体" w:hAnsi="宋体" w:eastAsia="宋体" w:cs="宋体"/>
          <w:color w:val="auto"/>
          <w:sz w:val="21"/>
          <w:szCs w:val="21"/>
        </w:rPr>
        <w:t>日     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p>
    <w:p>
      <w:pPr>
        <w:pStyle w:val="26"/>
        <w:spacing w:line="500" w:lineRule="atLeast"/>
        <w:ind w:firstLine="433"/>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pPr>
        <w:pStyle w:val="5"/>
        <w:widowControl w:val="0"/>
        <w:overflowPunct w:val="0"/>
        <w:spacing w:before="0" w:after="0" w:line="240" w:lineRule="auto"/>
        <w:rPr>
          <w:rFonts w:hint="eastAsia" w:ascii="宋体" w:hAnsi="宋体" w:eastAsia="宋体" w:cs="宋体"/>
          <w:color w:val="auto"/>
          <w:sz w:val="21"/>
          <w:szCs w:val="21"/>
        </w:rPr>
      </w:pPr>
      <w:bookmarkStart w:id="100" w:name="_Toc17384"/>
      <w:r>
        <w:rPr>
          <w:rFonts w:hint="eastAsia" w:ascii="宋体" w:hAnsi="宋体" w:eastAsia="宋体" w:cs="宋体"/>
          <w:color w:val="auto"/>
          <w:sz w:val="21"/>
          <w:szCs w:val="21"/>
        </w:rPr>
        <w:t>附件8.营业执照</w:t>
      </w:r>
      <w:bookmarkEnd w:id="100"/>
    </w:p>
    <w:p>
      <w:pPr>
        <w:jc w:val="center"/>
        <w:rPr>
          <w:rFonts w:hint="eastAsia" w:ascii="宋体" w:hAnsi="宋体" w:eastAsia="宋体" w:cs="宋体"/>
          <w:color w:val="auto"/>
          <w:sz w:val="28"/>
          <w:szCs w:val="28"/>
        </w:rPr>
      </w:pPr>
      <w:bookmarkStart w:id="101" w:name="_Toc1511"/>
      <w:bookmarkStart w:id="102" w:name="_Toc24210"/>
      <w:bookmarkStart w:id="103" w:name="_Toc4926"/>
      <w:bookmarkStart w:id="104" w:name="_Toc17470"/>
      <w:bookmarkStart w:id="105" w:name="_Toc5919"/>
      <w:r>
        <w:rPr>
          <w:rFonts w:hint="eastAsia" w:ascii="宋体" w:hAnsi="宋体" w:eastAsia="宋体" w:cs="宋体"/>
          <w:color w:val="auto"/>
          <w:sz w:val="28"/>
          <w:szCs w:val="28"/>
        </w:rPr>
        <w:t>营业执照</w:t>
      </w:r>
      <w:bookmarkEnd w:id="101"/>
      <w:bookmarkEnd w:id="102"/>
      <w:bookmarkEnd w:id="103"/>
      <w:bookmarkEnd w:id="104"/>
      <w:bookmarkEnd w:id="105"/>
    </w:p>
    <w:p>
      <w:pPr>
        <w:jc w:val="center"/>
        <w:rPr>
          <w:rFonts w:hint="eastAsia" w:ascii="宋体" w:hAnsi="宋体" w:eastAsia="宋体" w:cs="宋体"/>
          <w:color w:val="auto"/>
          <w:sz w:val="28"/>
          <w:szCs w:val="28"/>
        </w:rPr>
      </w:pPr>
      <w:r>
        <w:rPr>
          <w:rFonts w:hint="eastAsia" w:ascii="宋体" w:hAnsi="宋体" w:eastAsia="宋体" w:cs="宋体"/>
          <w:color w:val="auto"/>
          <w:sz w:val="28"/>
          <w:szCs w:val="28"/>
        </w:rPr>
        <w:br w:type="page"/>
      </w:r>
    </w:p>
    <w:p>
      <w:pPr>
        <w:pStyle w:val="5"/>
        <w:widowControl w:val="0"/>
        <w:overflowPunct w:val="0"/>
        <w:spacing w:before="0" w:after="0" w:line="240" w:lineRule="auto"/>
        <w:rPr>
          <w:rFonts w:hint="eastAsia" w:ascii="宋体" w:hAnsi="宋体" w:eastAsia="宋体" w:cs="宋体"/>
          <w:color w:val="auto"/>
          <w:sz w:val="21"/>
          <w:szCs w:val="21"/>
        </w:rPr>
      </w:pPr>
      <w:bookmarkStart w:id="106" w:name="_Toc9057"/>
      <w:r>
        <w:rPr>
          <w:rFonts w:hint="eastAsia" w:ascii="宋体" w:hAnsi="宋体" w:eastAsia="宋体" w:cs="宋体"/>
          <w:color w:val="auto"/>
          <w:sz w:val="21"/>
          <w:szCs w:val="21"/>
        </w:rPr>
        <w:t>附件9.相关资质证明文件</w:t>
      </w:r>
      <w:bookmarkEnd w:id="106"/>
    </w:p>
    <w:p>
      <w:pPr>
        <w:rPr>
          <w:rFonts w:hint="eastAsia" w:ascii="宋体" w:hAnsi="宋体" w:eastAsia="宋体" w:cs="宋体"/>
          <w:color w:val="auto"/>
        </w:rPr>
      </w:pPr>
    </w:p>
    <w:p>
      <w:pPr>
        <w:jc w:val="center"/>
        <w:rPr>
          <w:rFonts w:hint="eastAsia" w:ascii="宋体" w:hAnsi="宋体" w:eastAsia="宋体" w:cs="宋体"/>
          <w:color w:val="auto"/>
          <w:sz w:val="28"/>
          <w:szCs w:val="28"/>
        </w:rPr>
      </w:pPr>
      <w:bookmarkStart w:id="107" w:name="_Toc16698"/>
      <w:bookmarkStart w:id="108" w:name="_Toc9592"/>
      <w:bookmarkStart w:id="109" w:name="_Toc30307"/>
      <w:bookmarkStart w:id="110" w:name="_Toc13458"/>
      <w:bookmarkStart w:id="111" w:name="_Toc16233"/>
      <w:r>
        <w:rPr>
          <w:rFonts w:hint="eastAsia" w:ascii="宋体" w:hAnsi="宋体" w:eastAsia="宋体" w:cs="宋体"/>
          <w:color w:val="auto"/>
          <w:sz w:val="28"/>
          <w:szCs w:val="28"/>
        </w:rPr>
        <w:t>相关资质证明文件</w:t>
      </w:r>
      <w:bookmarkEnd w:id="98"/>
      <w:bookmarkEnd w:id="107"/>
      <w:bookmarkEnd w:id="108"/>
      <w:bookmarkEnd w:id="109"/>
      <w:bookmarkEnd w:id="110"/>
      <w:bookmarkEnd w:id="111"/>
    </w:p>
    <w:p>
      <w:pPr>
        <w:jc w:val="center"/>
        <w:rPr>
          <w:rFonts w:hint="eastAsia" w:ascii="宋体" w:hAnsi="宋体" w:eastAsia="宋体" w:cs="宋体"/>
          <w:color w:val="auto"/>
          <w:sz w:val="28"/>
          <w:szCs w:val="28"/>
        </w:rPr>
      </w:pPr>
      <w:r>
        <w:rPr>
          <w:rFonts w:hint="eastAsia" w:ascii="宋体" w:hAnsi="宋体" w:eastAsia="宋体" w:cs="宋体"/>
          <w:color w:val="auto"/>
          <w:sz w:val="28"/>
          <w:szCs w:val="28"/>
        </w:rPr>
        <w:br w:type="page"/>
      </w:r>
    </w:p>
    <w:p>
      <w:pPr>
        <w:pStyle w:val="5"/>
        <w:widowControl w:val="0"/>
        <w:overflowPunct w:val="0"/>
        <w:spacing w:before="0" w:after="0" w:line="240" w:lineRule="auto"/>
        <w:rPr>
          <w:rFonts w:hint="eastAsia" w:ascii="宋体" w:hAnsi="宋体" w:eastAsia="宋体" w:cs="宋体"/>
          <w:color w:val="auto"/>
          <w:sz w:val="21"/>
          <w:szCs w:val="21"/>
        </w:rPr>
      </w:pPr>
      <w:bookmarkStart w:id="112" w:name="_Toc25635"/>
      <w:r>
        <w:rPr>
          <w:rFonts w:hint="eastAsia" w:ascii="宋体" w:hAnsi="宋体" w:eastAsia="宋体" w:cs="宋体"/>
          <w:color w:val="auto"/>
          <w:sz w:val="21"/>
          <w:szCs w:val="21"/>
        </w:rPr>
        <w:t>附件10. 商务条款偏离表格式</w:t>
      </w:r>
      <w:bookmarkEnd w:id="112"/>
    </w:p>
    <w:p>
      <w:pPr>
        <w:jc w:val="center"/>
        <w:rPr>
          <w:rFonts w:hint="eastAsia" w:ascii="宋体" w:hAnsi="宋体" w:eastAsia="宋体" w:cs="宋体"/>
          <w:color w:val="auto"/>
          <w:sz w:val="28"/>
          <w:szCs w:val="28"/>
        </w:rPr>
      </w:pPr>
    </w:p>
    <w:p>
      <w:pPr>
        <w:jc w:val="center"/>
        <w:rPr>
          <w:rFonts w:hint="eastAsia" w:ascii="宋体" w:hAnsi="宋体" w:eastAsia="宋体" w:cs="宋体"/>
          <w:color w:val="auto"/>
          <w:sz w:val="28"/>
          <w:szCs w:val="28"/>
        </w:rPr>
      </w:pPr>
      <w:r>
        <w:rPr>
          <w:rFonts w:hint="eastAsia" w:ascii="宋体" w:hAnsi="宋体" w:eastAsia="宋体" w:cs="宋体"/>
          <w:color w:val="auto"/>
          <w:sz w:val="28"/>
          <w:szCs w:val="28"/>
        </w:rPr>
        <w:t>商务条款偏离表</w:t>
      </w:r>
    </w:p>
    <w:tbl>
      <w:tblPr>
        <w:tblStyle w:val="16"/>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20"/>
        <w:gridCol w:w="1360"/>
        <w:gridCol w:w="1587"/>
        <w:gridCol w:w="1133"/>
        <w:gridCol w:w="1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08" w:type="dxa"/>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1620" w:type="dxa"/>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服务项目名称</w:t>
            </w:r>
          </w:p>
        </w:tc>
        <w:tc>
          <w:tcPr>
            <w:tcW w:w="1360" w:type="dxa"/>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招标要求</w:t>
            </w:r>
          </w:p>
        </w:tc>
        <w:tc>
          <w:tcPr>
            <w:tcW w:w="1587" w:type="dxa"/>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投标实际响应</w:t>
            </w:r>
          </w:p>
        </w:tc>
        <w:tc>
          <w:tcPr>
            <w:tcW w:w="1133" w:type="dxa"/>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是否偏离</w:t>
            </w:r>
          </w:p>
        </w:tc>
        <w:tc>
          <w:tcPr>
            <w:tcW w:w="1730" w:type="dxa"/>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hint="eastAsia" w:ascii="宋体" w:hAnsi="宋体" w:eastAsia="宋体" w:cs="宋体"/>
                <w:color w:val="auto"/>
                <w:sz w:val="21"/>
                <w:szCs w:val="21"/>
              </w:rPr>
            </w:pPr>
          </w:p>
        </w:tc>
        <w:tc>
          <w:tcPr>
            <w:tcW w:w="1620" w:type="dxa"/>
            <w:vAlign w:val="center"/>
          </w:tcPr>
          <w:p>
            <w:pPr>
              <w:jc w:val="center"/>
              <w:rPr>
                <w:rFonts w:hint="eastAsia" w:ascii="宋体" w:hAnsi="宋体" w:eastAsia="宋体" w:cs="宋体"/>
                <w:color w:val="auto"/>
                <w:sz w:val="21"/>
                <w:szCs w:val="21"/>
              </w:rPr>
            </w:pPr>
          </w:p>
        </w:tc>
        <w:tc>
          <w:tcPr>
            <w:tcW w:w="1360" w:type="dxa"/>
            <w:vAlign w:val="center"/>
          </w:tcPr>
          <w:p>
            <w:pPr>
              <w:jc w:val="center"/>
              <w:rPr>
                <w:rFonts w:hint="eastAsia" w:ascii="宋体" w:hAnsi="宋体" w:eastAsia="宋体" w:cs="宋体"/>
                <w:color w:val="auto"/>
                <w:sz w:val="21"/>
                <w:szCs w:val="21"/>
              </w:rPr>
            </w:pPr>
          </w:p>
        </w:tc>
        <w:tc>
          <w:tcPr>
            <w:tcW w:w="1587" w:type="dxa"/>
            <w:vAlign w:val="center"/>
          </w:tcPr>
          <w:p>
            <w:pPr>
              <w:jc w:val="center"/>
              <w:rPr>
                <w:rFonts w:hint="eastAsia" w:ascii="宋体" w:hAnsi="宋体" w:eastAsia="宋体" w:cs="宋体"/>
                <w:color w:val="auto"/>
                <w:sz w:val="21"/>
                <w:szCs w:val="21"/>
              </w:rPr>
            </w:pPr>
          </w:p>
        </w:tc>
        <w:tc>
          <w:tcPr>
            <w:tcW w:w="1133" w:type="dxa"/>
            <w:vAlign w:val="center"/>
          </w:tcPr>
          <w:p>
            <w:pPr>
              <w:jc w:val="center"/>
              <w:rPr>
                <w:rFonts w:hint="eastAsia" w:ascii="宋体" w:hAnsi="宋体" w:eastAsia="宋体" w:cs="宋体"/>
                <w:color w:val="auto"/>
                <w:sz w:val="21"/>
                <w:szCs w:val="21"/>
              </w:rPr>
            </w:pPr>
          </w:p>
        </w:tc>
        <w:tc>
          <w:tcPr>
            <w:tcW w:w="1730" w:type="dxa"/>
            <w:vAlign w:val="center"/>
          </w:tcPr>
          <w:p>
            <w:pPr>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hint="eastAsia" w:ascii="宋体" w:hAnsi="宋体" w:eastAsia="宋体" w:cs="宋体"/>
                <w:color w:val="auto"/>
                <w:sz w:val="21"/>
                <w:szCs w:val="21"/>
              </w:rPr>
            </w:pPr>
          </w:p>
        </w:tc>
        <w:tc>
          <w:tcPr>
            <w:tcW w:w="1620" w:type="dxa"/>
            <w:vAlign w:val="center"/>
          </w:tcPr>
          <w:p>
            <w:pPr>
              <w:jc w:val="center"/>
              <w:rPr>
                <w:rFonts w:hint="eastAsia" w:ascii="宋体" w:hAnsi="宋体" w:eastAsia="宋体" w:cs="宋体"/>
                <w:color w:val="auto"/>
                <w:sz w:val="21"/>
                <w:szCs w:val="21"/>
              </w:rPr>
            </w:pPr>
          </w:p>
        </w:tc>
        <w:tc>
          <w:tcPr>
            <w:tcW w:w="1360" w:type="dxa"/>
            <w:vAlign w:val="center"/>
          </w:tcPr>
          <w:p>
            <w:pPr>
              <w:jc w:val="center"/>
              <w:rPr>
                <w:rFonts w:hint="eastAsia" w:ascii="宋体" w:hAnsi="宋体" w:eastAsia="宋体" w:cs="宋体"/>
                <w:color w:val="auto"/>
                <w:sz w:val="21"/>
                <w:szCs w:val="21"/>
              </w:rPr>
            </w:pPr>
          </w:p>
        </w:tc>
        <w:tc>
          <w:tcPr>
            <w:tcW w:w="1587" w:type="dxa"/>
            <w:vAlign w:val="center"/>
          </w:tcPr>
          <w:p>
            <w:pPr>
              <w:jc w:val="center"/>
              <w:rPr>
                <w:rFonts w:hint="eastAsia" w:ascii="宋体" w:hAnsi="宋体" w:eastAsia="宋体" w:cs="宋体"/>
                <w:color w:val="auto"/>
                <w:sz w:val="21"/>
                <w:szCs w:val="21"/>
              </w:rPr>
            </w:pPr>
          </w:p>
        </w:tc>
        <w:tc>
          <w:tcPr>
            <w:tcW w:w="1133" w:type="dxa"/>
            <w:vAlign w:val="center"/>
          </w:tcPr>
          <w:p>
            <w:pPr>
              <w:jc w:val="center"/>
              <w:rPr>
                <w:rFonts w:hint="eastAsia" w:ascii="宋体" w:hAnsi="宋体" w:eastAsia="宋体" w:cs="宋体"/>
                <w:color w:val="auto"/>
                <w:sz w:val="21"/>
                <w:szCs w:val="21"/>
              </w:rPr>
            </w:pPr>
          </w:p>
        </w:tc>
        <w:tc>
          <w:tcPr>
            <w:tcW w:w="1730" w:type="dxa"/>
            <w:vAlign w:val="center"/>
          </w:tcPr>
          <w:p>
            <w:pPr>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hint="eastAsia" w:ascii="宋体" w:hAnsi="宋体" w:eastAsia="宋体" w:cs="宋体"/>
                <w:color w:val="auto"/>
                <w:sz w:val="21"/>
                <w:szCs w:val="21"/>
              </w:rPr>
            </w:pPr>
          </w:p>
        </w:tc>
        <w:tc>
          <w:tcPr>
            <w:tcW w:w="1620" w:type="dxa"/>
            <w:vAlign w:val="center"/>
          </w:tcPr>
          <w:p>
            <w:pPr>
              <w:jc w:val="center"/>
              <w:rPr>
                <w:rFonts w:hint="eastAsia" w:ascii="宋体" w:hAnsi="宋体" w:eastAsia="宋体" w:cs="宋体"/>
                <w:color w:val="auto"/>
                <w:sz w:val="21"/>
                <w:szCs w:val="21"/>
              </w:rPr>
            </w:pPr>
          </w:p>
        </w:tc>
        <w:tc>
          <w:tcPr>
            <w:tcW w:w="1360" w:type="dxa"/>
            <w:vAlign w:val="center"/>
          </w:tcPr>
          <w:p>
            <w:pPr>
              <w:jc w:val="center"/>
              <w:rPr>
                <w:rFonts w:hint="eastAsia" w:ascii="宋体" w:hAnsi="宋体" w:eastAsia="宋体" w:cs="宋体"/>
                <w:color w:val="auto"/>
                <w:sz w:val="21"/>
                <w:szCs w:val="21"/>
              </w:rPr>
            </w:pPr>
          </w:p>
        </w:tc>
        <w:tc>
          <w:tcPr>
            <w:tcW w:w="1587" w:type="dxa"/>
            <w:vAlign w:val="center"/>
          </w:tcPr>
          <w:p>
            <w:pPr>
              <w:jc w:val="center"/>
              <w:rPr>
                <w:rFonts w:hint="eastAsia" w:ascii="宋体" w:hAnsi="宋体" w:eastAsia="宋体" w:cs="宋体"/>
                <w:color w:val="auto"/>
                <w:sz w:val="21"/>
                <w:szCs w:val="21"/>
              </w:rPr>
            </w:pPr>
          </w:p>
        </w:tc>
        <w:tc>
          <w:tcPr>
            <w:tcW w:w="1133" w:type="dxa"/>
            <w:vAlign w:val="center"/>
          </w:tcPr>
          <w:p>
            <w:pPr>
              <w:jc w:val="center"/>
              <w:rPr>
                <w:rFonts w:hint="eastAsia" w:ascii="宋体" w:hAnsi="宋体" w:eastAsia="宋体" w:cs="宋体"/>
                <w:color w:val="auto"/>
                <w:sz w:val="21"/>
                <w:szCs w:val="21"/>
              </w:rPr>
            </w:pPr>
          </w:p>
        </w:tc>
        <w:tc>
          <w:tcPr>
            <w:tcW w:w="1730" w:type="dxa"/>
            <w:vAlign w:val="center"/>
          </w:tcPr>
          <w:p>
            <w:pPr>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hint="eastAsia" w:ascii="宋体" w:hAnsi="宋体" w:eastAsia="宋体" w:cs="宋体"/>
                <w:color w:val="auto"/>
                <w:sz w:val="21"/>
                <w:szCs w:val="21"/>
              </w:rPr>
            </w:pPr>
          </w:p>
        </w:tc>
        <w:tc>
          <w:tcPr>
            <w:tcW w:w="1620" w:type="dxa"/>
            <w:vAlign w:val="center"/>
          </w:tcPr>
          <w:p>
            <w:pPr>
              <w:jc w:val="center"/>
              <w:rPr>
                <w:rFonts w:hint="eastAsia" w:ascii="宋体" w:hAnsi="宋体" w:eastAsia="宋体" w:cs="宋体"/>
                <w:color w:val="auto"/>
                <w:sz w:val="21"/>
                <w:szCs w:val="21"/>
              </w:rPr>
            </w:pPr>
          </w:p>
        </w:tc>
        <w:tc>
          <w:tcPr>
            <w:tcW w:w="1360" w:type="dxa"/>
            <w:vAlign w:val="center"/>
          </w:tcPr>
          <w:p>
            <w:pPr>
              <w:jc w:val="center"/>
              <w:rPr>
                <w:rFonts w:hint="eastAsia" w:ascii="宋体" w:hAnsi="宋体" w:eastAsia="宋体" w:cs="宋体"/>
                <w:color w:val="auto"/>
                <w:sz w:val="21"/>
                <w:szCs w:val="21"/>
              </w:rPr>
            </w:pPr>
          </w:p>
        </w:tc>
        <w:tc>
          <w:tcPr>
            <w:tcW w:w="1587" w:type="dxa"/>
            <w:vAlign w:val="center"/>
          </w:tcPr>
          <w:p>
            <w:pPr>
              <w:jc w:val="center"/>
              <w:rPr>
                <w:rFonts w:hint="eastAsia" w:ascii="宋体" w:hAnsi="宋体" w:eastAsia="宋体" w:cs="宋体"/>
                <w:color w:val="auto"/>
                <w:sz w:val="21"/>
                <w:szCs w:val="21"/>
              </w:rPr>
            </w:pPr>
          </w:p>
        </w:tc>
        <w:tc>
          <w:tcPr>
            <w:tcW w:w="1133" w:type="dxa"/>
            <w:vAlign w:val="center"/>
          </w:tcPr>
          <w:p>
            <w:pPr>
              <w:jc w:val="center"/>
              <w:rPr>
                <w:rFonts w:hint="eastAsia" w:ascii="宋体" w:hAnsi="宋体" w:eastAsia="宋体" w:cs="宋体"/>
                <w:color w:val="auto"/>
                <w:sz w:val="21"/>
                <w:szCs w:val="21"/>
              </w:rPr>
            </w:pPr>
          </w:p>
        </w:tc>
        <w:tc>
          <w:tcPr>
            <w:tcW w:w="1730" w:type="dxa"/>
            <w:vAlign w:val="center"/>
          </w:tcPr>
          <w:p>
            <w:pPr>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hint="eastAsia" w:ascii="宋体" w:hAnsi="宋体" w:eastAsia="宋体" w:cs="宋体"/>
                <w:color w:val="auto"/>
                <w:sz w:val="21"/>
                <w:szCs w:val="21"/>
              </w:rPr>
            </w:pPr>
          </w:p>
        </w:tc>
        <w:tc>
          <w:tcPr>
            <w:tcW w:w="1620" w:type="dxa"/>
            <w:vAlign w:val="center"/>
          </w:tcPr>
          <w:p>
            <w:pPr>
              <w:jc w:val="center"/>
              <w:rPr>
                <w:rFonts w:hint="eastAsia" w:ascii="宋体" w:hAnsi="宋体" w:eastAsia="宋体" w:cs="宋体"/>
                <w:color w:val="auto"/>
                <w:sz w:val="21"/>
                <w:szCs w:val="21"/>
              </w:rPr>
            </w:pPr>
          </w:p>
        </w:tc>
        <w:tc>
          <w:tcPr>
            <w:tcW w:w="1360" w:type="dxa"/>
            <w:vAlign w:val="center"/>
          </w:tcPr>
          <w:p>
            <w:pPr>
              <w:jc w:val="center"/>
              <w:rPr>
                <w:rFonts w:hint="eastAsia" w:ascii="宋体" w:hAnsi="宋体" w:eastAsia="宋体" w:cs="宋体"/>
                <w:color w:val="auto"/>
                <w:sz w:val="21"/>
                <w:szCs w:val="21"/>
              </w:rPr>
            </w:pPr>
          </w:p>
        </w:tc>
        <w:tc>
          <w:tcPr>
            <w:tcW w:w="1587" w:type="dxa"/>
            <w:vAlign w:val="center"/>
          </w:tcPr>
          <w:p>
            <w:pPr>
              <w:jc w:val="center"/>
              <w:rPr>
                <w:rFonts w:hint="eastAsia" w:ascii="宋体" w:hAnsi="宋体" w:eastAsia="宋体" w:cs="宋体"/>
                <w:color w:val="auto"/>
                <w:sz w:val="21"/>
                <w:szCs w:val="21"/>
              </w:rPr>
            </w:pPr>
          </w:p>
        </w:tc>
        <w:tc>
          <w:tcPr>
            <w:tcW w:w="1133" w:type="dxa"/>
            <w:vAlign w:val="center"/>
          </w:tcPr>
          <w:p>
            <w:pPr>
              <w:jc w:val="center"/>
              <w:rPr>
                <w:rFonts w:hint="eastAsia" w:ascii="宋体" w:hAnsi="宋体" w:eastAsia="宋体" w:cs="宋体"/>
                <w:color w:val="auto"/>
                <w:sz w:val="21"/>
                <w:szCs w:val="21"/>
              </w:rPr>
            </w:pPr>
          </w:p>
        </w:tc>
        <w:tc>
          <w:tcPr>
            <w:tcW w:w="1730" w:type="dxa"/>
            <w:vAlign w:val="center"/>
          </w:tcPr>
          <w:p>
            <w:pPr>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hint="eastAsia" w:ascii="宋体" w:hAnsi="宋体" w:eastAsia="宋体" w:cs="宋体"/>
                <w:color w:val="auto"/>
                <w:sz w:val="21"/>
                <w:szCs w:val="21"/>
              </w:rPr>
            </w:pPr>
          </w:p>
        </w:tc>
        <w:tc>
          <w:tcPr>
            <w:tcW w:w="1620" w:type="dxa"/>
            <w:vAlign w:val="center"/>
          </w:tcPr>
          <w:p>
            <w:pPr>
              <w:jc w:val="center"/>
              <w:rPr>
                <w:rFonts w:hint="eastAsia" w:ascii="宋体" w:hAnsi="宋体" w:eastAsia="宋体" w:cs="宋体"/>
                <w:color w:val="auto"/>
                <w:sz w:val="21"/>
                <w:szCs w:val="21"/>
              </w:rPr>
            </w:pPr>
          </w:p>
        </w:tc>
        <w:tc>
          <w:tcPr>
            <w:tcW w:w="1360" w:type="dxa"/>
            <w:vAlign w:val="center"/>
          </w:tcPr>
          <w:p>
            <w:pPr>
              <w:jc w:val="center"/>
              <w:rPr>
                <w:rFonts w:hint="eastAsia" w:ascii="宋体" w:hAnsi="宋体" w:eastAsia="宋体" w:cs="宋体"/>
                <w:color w:val="auto"/>
                <w:sz w:val="21"/>
                <w:szCs w:val="21"/>
              </w:rPr>
            </w:pPr>
          </w:p>
        </w:tc>
        <w:tc>
          <w:tcPr>
            <w:tcW w:w="1587" w:type="dxa"/>
            <w:vAlign w:val="center"/>
          </w:tcPr>
          <w:p>
            <w:pPr>
              <w:jc w:val="center"/>
              <w:rPr>
                <w:rFonts w:hint="eastAsia" w:ascii="宋体" w:hAnsi="宋体" w:eastAsia="宋体" w:cs="宋体"/>
                <w:color w:val="auto"/>
                <w:sz w:val="21"/>
                <w:szCs w:val="21"/>
              </w:rPr>
            </w:pPr>
          </w:p>
        </w:tc>
        <w:tc>
          <w:tcPr>
            <w:tcW w:w="1133" w:type="dxa"/>
            <w:vAlign w:val="center"/>
          </w:tcPr>
          <w:p>
            <w:pPr>
              <w:jc w:val="center"/>
              <w:rPr>
                <w:rFonts w:hint="eastAsia" w:ascii="宋体" w:hAnsi="宋体" w:eastAsia="宋体" w:cs="宋体"/>
                <w:color w:val="auto"/>
                <w:sz w:val="21"/>
                <w:szCs w:val="21"/>
              </w:rPr>
            </w:pPr>
          </w:p>
        </w:tc>
        <w:tc>
          <w:tcPr>
            <w:tcW w:w="1730" w:type="dxa"/>
            <w:vAlign w:val="center"/>
          </w:tcPr>
          <w:p>
            <w:pPr>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hint="eastAsia" w:ascii="宋体" w:hAnsi="宋体" w:eastAsia="宋体" w:cs="宋体"/>
                <w:color w:val="auto"/>
                <w:sz w:val="21"/>
                <w:szCs w:val="21"/>
              </w:rPr>
            </w:pPr>
          </w:p>
        </w:tc>
        <w:tc>
          <w:tcPr>
            <w:tcW w:w="1620" w:type="dxa"/>
            <w:vAlign w:val="center"/>
          </w:tcPr>
          <w:p>
            <w:pPr>
              <w:jc w:val="center"/>
              <w:rPr>
                <w:rFonts w:hint="eastAsia" w:ascii="宋体" w:hAnsi="宋体" w:eastAsia="宋体" w:cs="宋体"/>
                <w:color w:val="auto"/>
                <w:sz w:val="21"/>
                <w:szCs w:val="21"/>
              </w:rPr>
            </w:pPr>
          </w:p>
        </w:tc>
        <w:tc>
          <w:tcPr>
            <w:tcW w:w="1360" w:type="dxa"/>
            <w:vAlign w:val="center"/>
          </w:tcPr>
          <w:p>
            <w:pPr>
              <w:jc w:val="center"/>
              <w:rPr>
                <w:rFonts w:hint="eastAsia" w:ascii="宋体" w:hAnsi="宋体" w:eastAsia="宋体" w:cs="宋体"/>
                <w:color w:val="auto"/>
                <w:sz w:val="21"/>
                <w:szCs w:val="21"/>
              </w:rPr>
            </w:pPr>
          </w:p>
        </w:tc>
        <w:tc>
          <w:tcPr>
            <w:tcW w:w="1587" w:type="dxa"/>
            <w:vAlign w:val="center"/>
          </w:tcPr>
          <w:p>
            <w:pPr>
              <w:jc w:val="center"/>
              <w:rPr>
                <w:rFonts w:hint="eastAsia" w:ascii="宋体" w:hAnsi="宋体" w:eastAsia="宋体" w:cs="宋体"/>
                <w:color w:val="auto"/>
                <w:sz w:val="21"/>
                <w:szCs w:val="21"/>
              </w:rPr>
            </w:pPr>
          </w:p>
        </w:tc>
        <w:tc>
          <w:tcPr>
            <w:tcW w:w="1133" w:type="dxa"/>
            <w:vAlign w:val="center"/>
          </w:tcPr>
          <w:p>
            <w:pPr>
              <w:jc w:val="center"/>
              <w:rPr>
                <w:rFonts w:hint="eastAsia" w:ascii="宋体" w:hAnsi="宋体" w:eastAsia="宋体" w:cs="宋体"/>
                <w:color w:val="auto"/>
                <w:sz w:val="21"/>
                <w:szCs w:val="21"/>
              </w:rPr>
            </w:pPr>
          </w:p>
        </w:tc>
        <w:tc>
          <w:tcPr>
            <w:tcW w:w="1730" w:type="dxa"/>
            <w:vAlign w:val="center"/>
          </w:tcPr>
          <w:p>
            <w:pPr>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hint="eastAsia" w:ascii="宋体" w:hAnsi="宋体" w:eastAsia="宋体" w:cs="宋体"/>
                <w:color w:val="auto"/>
                <w:sz w:val="21"/>
                <w:szCs w:val="21"/>
              </w:rPr>
            </w:pPr>
          </w:p>
        </w:tc>
        <w:tc>
          <w:tcPr>
            <w:tcW w:w="1620" w:type="dxa"/>
            <w:vAlign w:val="center"/>
          </w:tcPr>
          <w:p>
            <w:pPr>
              <w:jc w:val="center"/>
              <w:rPr>
                <w:rFonts w:hint="eastAsia" w:ascii="宋体" w:hAnsi="宋体" w:eastAsia="宋体" w:cs="宋体"/>
                <w:color w:val="auto"/>
                <w:sz w:val="21"/>
                <w:szCs w:val="21"/>
              </w:rPr>
            </w:pPr>
          </w:p>
        </w:tc>
        <w:tc>
          <w:tcPr>
            <w:tcW w:w="1360" w:type="dxa"/>
            <w:vAlign w:val="center"/>
          </w:tcPr>
          <w:p>
            <w:pPr>
              <w:jc w:val="center"/>
              <w:rPr>
                <w:rFonts w:hint="eastAsia" w:ascii="宋体" w:hAnsi="宋体" w:eastAsia="宋体" w:cs="宋体"/>
                <w:color w:val="auto"/>
                <w:sz w:val="21"/>
                <w:szCs w:val="21"/>
              </w:rPr>
            </w:pPr>
          </w:p>
        </w:tc>
        <w:tc>
          <w:tcPr>
            <w:tcW w:w="1587" w:type="dxa"/>
            <w:vAlign w:val="center"/>
          </w:tcPr>
          <w:p>
            <w:pPr>
              <w:jc w:val="center"/>
              <w:rPr>
                <w:rFonts w:hint="eastAsia" w:ascii="宋体" w:hAnsi="宋体" w:eastAsia="宋体" w:cs="宋体"/>
                <w:color w:val="auto"/>
                <w:sz w:val="21"/>
                <w:szCs w:val="21"/>
              </w:rPr>
            </w:pPr>
          </w:p>
        </w:tc>
        <w:tc>
          <w:tcPr>
            <w:tcW w:w="1133" w:type="dxa"/>
            <w:vAlign w:val="center"/>
          </w:tcPr>
          <w:p>
            <w:pPr>
              <w:jc w:val="center"/>
              <w:rPr>
                <w:rFonts w:hint="eastAsia" w:ascii="宋体" w:hAnsi="宋体" w:eastAsia="宋体" w:cs="宋体"/>
                <w:color w:val="auto"/>
                <w:sz w:val="21"/>
                <w:szCs w:val="21"/>
              </w:rPr>
            </w:pPr>
          </w:p>
        </w:tc>
        <w:tc>
          <w:tcPr>
            <w:tcW w:w="1730" w:type="dxa"/>
            <w:vAlign w:val="center"/>
          </w:tcPr>
          <w:p>
            <w:pPr>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hint="eastAsia" w:ascii="宋体" w:hAnsi="宋体" w:eastAsia="宋体" w:cs="宋体"/>
                <w:color w:val="auto"/>
                <w:sz w:val="21"/>
                <w:szCs w:val="21"/>
              </w:rPr>
            </w:pPr>
          </w:p>
        </w:tc>
        <w:tc>
          <w:tcPr>
            <w:tcW w:w="1620" w:type="dxa"/>
            <w:vAlign w:val="center"/>
          </w:tcPr>
          <w:p>
            <w:pPr>
              <w:jc w:val="center"/>
              <w:rPr>
                <w:rFonts w:hint="eastAsia" w:ascii="宋体" w:hAnsi="宋体" w:eastAsia="宋体" w:cs="宋体"/>
                <w:color w:val="auto"/>
                <w:sz w:val="21"/>
                <w:szCs w:val="21"/>
              </w:rPr>
            </w:pPr>
          </w:p>
        </w:tc>
        <w:tc>
          <w:tcPr>
            <w:tcW w:w="1360" w:type="dxa"/>
            <w:vAlign w:val="center"/>
          </w:tcPr>
          <w:p>
            <w:pPr>
              <w:jc w:val="center"/>
              <w:rPr>
                <w:rFonts w:hint="eastAsia" w:ascii="宋体" w:hAnsi="宋体" w:eastAsia="宋体" w:cs="宋体"/>
                <w:color w:val="auto"/>
                <w:sz w:val="21"/>
                <w:szCs w:val="21"/>
              </w:rPr>
            </w:pPr>
          </w:p>
        </w:tc>
        <w:tc>
          <w:tcPr>
            <w:tcW w:w="1587" w:type="dxa"/>
            <w:vAlign w:val="center"/>
          </w:tcPr>
          <w:p>
            <w:pPr>
              <w:jc w:val="center"/>
              <w:rPr>
                <w:rFonts w:hint="eastAsia" w:ascii="宋体" w:hAnsi="宋体" w:eastAsia="宋体" w:cs="宋体"/>
                <w:color w:val="auto"/>
                <w:sz w:val="21"/>
                <w:szCs w:val="21"/>
              </w:rPr>
            </w:pPr>
          </w:p>
        </w:tc>
        <w:tc>
          <w:tcPr>
            <w:tcW w:w="1133" w:type="dxa"/>
            <w:vAlign w:val="center"/>
          </w:tcPr>
          <w:p>
            <w:pPr>
              <w:jc w:val="center"/>
              <w:rPr>
                <w:rFonts w:hint="eastAsia" w:ascii="宋体" w:hAnsi="宋体" w:eastAsia="宋体" w:cs="宋体"/>
                <w:color w:val="auto"/>
                <w:sz w:val="21"/>
                <w:szCs w:val="21"/>
              </w:rPr>
            </w:pPr>
          </w:p>
        </w:tc>
        <w:tc>
          <w:tcPr>
            <w:tcW w:w="1730" w:type="dxa"/>
            <w:vAlign w:val="center"/>
          </w:tcPr>
          <w:p>
            <w:pPr>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hint="eastAsia" w:ascii="宋体" w:hAnsi="宋体" w:eastAsia="宋体" w:cs="宋体"/>
                <w:color w:val="auto"/>
                <w:sz w:val="21"/>
                <w:szCs w:val="21"/>
              </w:rPr>
            </w:pPr>
          </w:p>
        </w:tc>
        <w:tc>
          <w:tcPr>
            <w:tcW w:w="1620" w:type="dxa"/>
            <w:vAlign w:val="center"/>
          </w:tcPr>
          <w:p>
            <w:pPr>
              <w:jc w:val="center"/>
              <w:rPr>
                <w:rFonts w:hint="eastAsia" w:ascii="宋体" w:hAnsi="宋体" w:eastAsia="宋体" w:cs="宋体"/>
                <w:color w:val="auto"/>
                <w:sz w:val="21"/>
                <w:szCs w:val="21"/>
              </w:rPr>
            </w:pPr>
          </w:p>
        </w:tc>
        <w:tc>
          <w:tcPr>
            <w:tcW w:w="1360" w:type="dxa"/>
            <w:vAlign w:val="center"/>
          </w:tcPr>
          <w:p>
            <w:pPr>
              <w:jc w:val="center"/>
              <w:rPr>
                <w:rFonts w:hint="eastAsia" w:ascii="宋体" w:hAnsi="宋体" w:eastAsia="宋体" w:cs="宋体"/>
                <w:color w:val="auto"/>
                <w:sz w:val="21"/>
                <w:szCs w:val="21"/>
              </w:rPr>
            </w:pPr>
          </w:p>
        </w:tc>
        <w:tc>
          <w:tcPr>
            <w:tcW w:w="1587" w:type="dxa"/>
            <w:vAlign w:val="center"/>
          </w:tcPr>
          <w:p>
            <w:pPr>
              <w:jc w:val="center"/>
              <w:rPr>
                <w:rFonts w:hint="eastAsia" w:ascii="宋体" w:hAnsi="宋体" w:eastAsia="宋体" w:cs="宋体"/>
                <w:color w:val="auto"/>
                <w:sz w:val="21"/>
                <w:szCs w:val="21"/>
              </w:rPr>
            </w:pPr>
          </w:p>
        </w:tc>
        <w:tc>
          <w:tcPr>
            <w:tcW w:w="1133" w:type="dxa"/>
            <w:vAlign w:val="center"/>
          </w:tcPr>
          <w:p>
            <w:pPr>
              <w:jc w:val="center"/>
              <w:rPr>
                <w:rFonts w:hint="eastAsia" w:ascii="宋体" w:hAnsi="宋体" w:eastAsia="宋体" w:cs="宋体"/>
                <w:color w:val="auto"/>
                <w:sz w:val="21"/>
                <w:szCs w:val="21"/>
              </w:rPr>
            </w:pPr>
          </w:p>
        </w:tc>
        <w:tc>
          <w:tcPr>
            <w:tcW w:w="1730" w:type="dxa"/>
            <w:vAlign w:val="center"/>
          </w:tcPr>
          <w:p>
            <w:pPr>
              <w:jc w:val="center"/>
              <w:rPr>
                <w:rFonts w:hint="eastAsia" w:ascii="宋体" w:hAnsi="宋体" w:eastAsia="宋体" w:cs="宋体"/>
                <w:color w:val="auto"/>
                <w:sz w:val="21"/>
                <w:szCs w:val="21"/>
              </w:rPr>
            </w:pPr>
          </w:p>
        </w:tc>
      </w:tr>
    </w:tbl>
    <w:p>
      <w:pPr>
        <w:rPr>
          <w:rFonts w:hint="eastAsia" w:ascii="宋体" w:hAnsi="宋体" w:eastAsia="宋体" w:cs="宋体"/>
          <w:color w:val="auto"/>
          <w:sz w:val="21"/>
          <w:szCs w:val="21"/>
        </w:rPr>
      </w:pPr>
    </w:p>
    <w:p>
      <w:pPr>
        <w:rPr>
          <w:rFonts w:hint="eastAsia" w:ascii="宋体" w:hAnsi="宋体" w:eastAsia="宋体" w:cs="宋体"/>
          <w:color w:val="auto"/>
          <w:sz w:val="21"/>
          <w:szCs w:val="21"/>
        </w:rPr>
      </w:pPr>
      <w:r>
        <w:rPr>
          <w:rFonts w:hint="eastAsia" w:ascii="宋体" w:hAnsi="宋体" w:eastAsia="宋体" w:cs="宋体"/>
          <w:color w:val="auto"/>
          <w:sz w:val="21"/>
          <w:szCs w:val="21"/>
        </w:rPr>
        <w:t>投标人代表签字：</w:t>
      </w:r>
    </w:p>
    <w:p>
      <w:pPr>
        <w:rPr>
          <w:rFonts w:hint="eastAsia" w:ascii="宋体" w:hAnsi="宋体" w:eastAsia="宋体" w:cs="宋体"/>
          <w:color w:val="auto"/>
          <w:sz w:val="21"/>
          <w:szCs w:val="21"/>
        </w:rPr>
      </w:pPr>
      <w:r>
        <w:rPr>
          <w:rFonts w:hint="eastAsia" w:ascii="宋体" w:hAnsi="宋体" w:eastAsia="宋体" w:cs="宋体"/>
          <w:color w:val="auto"/>
          <w:sz w:val="21"/>
          <w:szCs w:val="21"/>
        </w:rPr>
        <w:t>投标人盖章：</w:t>
      </w:r>
    </w:p>
    <w:p>
      <w:pPr>
        <w:rPr>
          <w:rFonts w:hint="eastAsia" w:ascii="宋体" w:hAnsi="宋体" w:eastAsia="宋体" w:cs="宋体"/>
          <w:color w:val="auto"/>
          <w:sz w:val="21"/>
          <w:szCs w:val="21"/>
        </w:rPr>
      </w:pPr>
    </w:p>
    <w:p>
      <w:pPr>
        <w:ind w:left="718" w:hanging="718" w:hangingChars="342"/>
        <w:rPr>
          <w:rFonts w:hint="eastAsia" w:ascii="宋体" w:hAnsi="宋体" w:eastAsia="宋体" w:cs="宋体"/>
          <w:color w:val="auto"/>
          <w:sz w:val="21"/>
          <w:szCs w:val="21"/>
        </w:rPr>
      </w:pPr>
      <w:r>
        <w:rPr>
          <w:rFonts w:hint="eastAsia" w:ascii="宋体" w:hAnsi="宋体" w:eastAsia="宋体" w:cs="宋体"/>
          <w:color w:val="auto"/>
          <w:sz w:val="21"/>
          <w:szCs w:val="21"/>
        </w:rPr>
        <w:t>注：</w:t>
      </w:r>
    </w:p>
    <w:p>
      <w:p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1、投标人应对照招标文件商务要求，说明已对招标文件的商务内容做出了实质性的响应。</w:t>
      </w:r>
    </w:p>
    <w:p>
      <w:p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2、商务条款包括但不限于合格投标人资格、付款方式、履约保证金、完工期、售后服务、检验及验收、保险、争端的解决等要求。</w:t>
      </w:r>
    </w:p>
    <w:p>
      <w:pPr>
        <w:spacing w:after="0"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3、投标人若未填写完整则视为完全响应招标文件的商务要求，因此</w:t>
      </w:r>
      <w:r>
        <w:rPr>
          <w:rFonts w:hint="eastAsia" w:ascii="宋体" w:hAnsi="宋体" w:eastAsia="宋体" w:cs="宋体"/>
          <w:color w:val="auto"/>
          <w:sz w:val="21"/>
          <w:szCs w:val="21"/>
        </w:rPr>
        <w:t>对投标人投标产生负面影响的，投标人自行承担后果。</w:t>
      </w:r>
    </w:p>
    <w:p>
      <w:pPr>
        <w:adjustRightInd/>
        <w:snapToGrid/>
        <w:spacing w:line="276" w:lineRule="auto"/>
        <w:rPr>
          <w:rFonts w:hint="eastAsia" w:ascii="宋体" w:hAnsi="宋体" w:eastAsia="宋体" w:cs="宋体"/>
          <w:color w:val="auto"/>
        </w:rPr>
      </w:pPr>
    </w:p>
    <w:p>
      <w:pPr>
        <w:adjustRightInd/>
        <w:snapToGrid/>
        <w:spacing w:line="276" w:lineRule="auto"/>
        <w:rPr>
          <w:rFonts w:hint="eastAsia" w:ascii="宋体" w:hAnsi="宋体" w:eastAsia="宋体" w:cs="宋体"/>
          <w:color w:val="auto"/>
        </w:rPr>
      </w:pPr>
    </w:p>
    <w:p>
      <w:pPr>
        <w:adjustRightInd/>
        <w:snapToGrid/>
        <w:spacing w:line="276" w:lineRule="auto"/>
        <w:rPr>
          <w:rFonts w:hint="eastAsia" w:ascii="宋体" w:hAnsi="宋体" w:eastAsia="宋体" w:cs="宋体"/>
          <w:color w:val="auto"/>
        </w:rPr>
      </w:pPr>
    </w:p>
    <w:p>
      <w:pPr>
        <w:adjustRightInd/>
        <w:snapToGrid/>
        <w:spacing w:line="276" w:lineRule="auto"/>
        <w:rPr>
          <w:rFonts w:hint="eastAsia" w:ascii="宋体" w:hAnsi="宋体" w:eastAsia="宋体" w:cs="宋体"/>
          <w:color w:val="auto"/>
        </w:rPr>
      </w:pPr>
    </w:p>
    <w:p>
      <w:pPr>
        <w:adjustRightInd/>
        <w:snapToGrid/>
        <w:spacing w:line="276" w:lineRule="auto"/>
        <w:rPr>
          <w:rFonts w:hint="eastAsia" w:ascii="宋体" w:hAnsi="宋体" w:eastAsia="宋体" w:cs="宋体"/>
          <w:color w:val="auto"/>
        </w:rPr>
      </w:pPr>
      <w:r>
        <w:rPr>
          <w:rFonts w:hint="eastAsia" w:ascii="宋体" w:hAnsi="宋体" w:eastAsia="宋体" w:cs="宋体"/>
          <w:color w:val="auto"/>
        </w:rPr>
        <w:br w:type="page"/>
      </w:r>
    </w:p>
    <w:p>
      <w:pPr>
        <w:pStyle w:val="5"/>
        <w:widowControl w:val="0"/>
        <w:overflowPunct w:val="0"/>
        <w:spacing w:before="0" w:after="0" w:line="240" w:lineRule="auto"/>
        <w:rPr>
          <w:rFonts w:hint="eastAsia" w:ascii="宋体" w:hAnsi="宋体" w:eastAsia="宋体" w:cs="宋体"/>
          <w:color w:val="auto"/>
          <w:sz w:val="21"/>
          <w:szCs w:val="21"/>
        </w:rPr>
      </w:pPr>
      <w:bookmarkStart w:id="113" w:name="_Toc15430"/>
      <w:r>
        <w:rPr>
          <w:rFonts w:hint="eastAsia" w:ascii="宋体" w:hAnsi="宋体" w:eastAsia="宋体" w:cs="宋体"/>
          <w:color w:val="auto"/>
          <w:sz w:val="21"/>
          <w:szCs w:val="21"/>
        </w:rPr>
        <w:t>附件11. 技术规格偏离表格式</w:t>
      </w:r>
      <w:bookmarkEnd w:id="113"/>
    </w:p>
    <w:p>
      <w:pPr>
        <w:jc w:val="center"/>
        <w:rPr>
          <w:rFonts w:hint="eastAsia" w:ascii="宋体" w:hAnsi="宋体" w:eastAsia="宋体" w:cs="宋体"/>
          <w:color w:val="auto"/>
          <w:sz w:val="28"/>
          <w:szCs w:val="28"/>
        </w:rPr>
      </w:pPr>
    </w:p>
    <w:p>
      <w:pPr>
        <w:jc w:val="center"/>
        <w:rPr>
          <w:rFonts w:hint="eastAsia" w:ascii="宋体" w:hAnsi="宋体" w:eastAsia="宋体" w:cs="宋体"/>
          <w:color w:val="auto"/>
          <w:sz w:val="28"/>
          <w:szCs w:val="28"/>
        </w:rPr>
      </w:pPr>
      <w:r>
        <w:rPr>
          <w:rFonts w:hint="eastAsia" w:ascii="宋体" w:hAnsi="宋体" w:eastAsia="宋体" w:cs="宋体"/>
          <w:color w:val="auto"/>
          <w:sz w:val="28"/>
          <w:szCs w:val="28"/>
        </w:rPr>
        <w:t>技术规格偏离表</w:t>
      </w: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902"/>
        <w:gridCol w:w="1370"/>
        <w:gridCol w:w="1629"/>
        <w:gridCol w:w="1239"/>
        <w:gridCol w:w="1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838" w:type="dxa"/>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1902" w:type="dxa"/>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服务项目名称</w:t>
            </w:r>
          </w:p>
        </w:tc>
        <w:tc>
          <w:tcPr>
            <w:tcW w:w="1370" w:type="dxa"/>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招标要求</w:t>
            </w:r>
          </w:p>
        </w:tc>
        <w:tc>
          <w:tcPr>
            <w:tcW w:w="1629" w:type="dxa"/>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投标实际响应</w:t>
            </w:r>
          </w:p>
        </w:tc>
        <w:tc>
          <w:tcPr>
            <w:tcW w:w="1239" w:type="dxa"/>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是否偏离</w:t>
            </w:r>
          </w:p>
        </w:tc>
        <w:tc>
          <w:tcPr>
            <w:tcW w:w="1544" w:type="dxa"/>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hint="eastAsia" w:ascii="宋体" w:hAnsi="宋体" w:eastAsia="宋体" w:cs="宋体"/>
                <w:color w:val="auto"/>
                <w:sz w:val="21"/>
                <w:szCs w:val="21"/>
              </w:rPr>
            </w:pPr>
          </w:p>
        </w:tc>
        <w:tc>
          <w:tcPr>
            <w:tcW w:w="1902" w:type="dxa"/>
            <w:vAlign w:val="center"/>
          </w:tcPr>
          <w:p>
            <w:pPr>
              <w:jc w:val="center"/>
              <w:rPr>
                <w:rFonts w:hint="eastAsia" w:ascii="宋体" w:hAnsi="宋体" w:eastAsia="宋体" w:cs="宋体"/>
                <w:color w:val="auto"/>
                <w:sz w:val="21"/>
                <w:szCs w:val="21"/>
              </w:rPr>
            </w:pPr>
          </w:p>
        </w:tc>
        <w:tc>
          <w:tcPr>
            <w:tcW w:w="1370" w:type="dxa"/>
            <w:vAlign w:val="center"/>
          </w:tcPr>
          <w:p>
            <w:pPr>
              <w:jc w:val="center"/>
              <w:rPr>
                <w:rFonts w:hint="eastAsia" w:ascii="宋体" w:hAnsi="宋体" w:eastAsia="宋体" w:cs="宋体"/>
                <w:color w:val="auto"/>
                <w:sz w:val="21"/>
                <w:szCs w:val="21"/>
              </w:rPr>
            </w:pPr>
          </w:p>
        </w:tc>
        <w:tc>
          <w:tcPr>
            <w:tcW w:w="1629" w:type="dxa"/>
            <w:vAlign w:val="center"/>
          </w:tcPr>
          <w:p>
            <w:pPr>
              <w:jc w:val="center"/>
              <w:rPr>
                <w:rFonts w:hint="eastAsia" w:ascii="宋体" w:hAnsi="宋体" w:eastAsia="宋体" w:cs="宋体"/>
                <w:color w:val="auto"/>
                <w:sz w:val="21"/>
                <w:szCs w:val="21"/>
              </w:rPr>
            </w:pPr>
          </w:p>
        </w:tc>
        <w:tc>
          <w:tcPr>
            <w:tcW w:w="1239" w:type="dxa"/>
            <w:vAlign w:val="center"/>
          </w:tcPr>
          <w:p>
            <w:pPr>
              <w:jc w:val="center"/>
              <w:rPr>
                <w:rFonts w:hint="eastAsia" w:ascii="宋体" w:hAnsi="宋体" w:eastAsia="宋体" w:cs="宋体"/>
                <w:color w:val="auto"/>
                <w:sz w:val="21"/>
                <w:szCs w:val="21"/>
              </w:rPr>
            </w:pPr>
          </w:p>
        </w:tc>
        <w:tc>
          <w:tcPr>
            <w:tcW w:w="1544" w:type="dxa"/>
            <w:vAlign w:val="center"/>
          </w:tcPr>
          <w:p>
            <w:pPr>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hint="eastAsia" w:ascii="宋体" w:hAnsi="宋体" w:eastAsia="宋体" w:cs="宋体"/>
                <w:color w:val="auto"/>
                <w:sz w:val="21"/>
                <w:szCs w:val="21"/>
              </w:rPr>
            </w:pPr>
          </w:p>
        </w:tc>
        <w:tc>
          <w:tcPr>
            <w:tcW w:w="1902" w:type="dxa"/>
            <w:vAlign w:val="center"/>
          </w:tcPr>
          <w:p>
            <w:pPr>
              <w:jc w:val="center"/>
              <w:rPr>
                <w:rFonts w:hint="eastAsia" w:ascii="宋体" w:hAnsi="宋体" w:eastAsia="宋体" w:cs="宋体"/>
                <w:color w:val="auto"/>
                <w:sz w:val="21"/>
                <w:szCs w:val="21"/>
              </w:rPr>
            </w:pPr>
          </w:p>
        </w:tc>
        <w:tc>
          <w:tcPr>
            <w:tcW w:w="1370" w:type="dxa"/>
            <w:vAlign w:val="center"/>
          </w:tcPr>
          <w:p>
            <w:pPr>
              <w:jc w:val="center"/>
              <w:rPr>
                <w:rFonts w:hint="eastAsia" w:ascii="宋体" w:hAnsi="宋体" w:eastAsia="宋体" w:cs="宋体"/>
                <w:color w:val="auto"/>
                <w:sz w:val="21"/>
                <w:szCs w:val="21"/>
              </w:rPr>
            </w:pPr>
          </w:p>
        </w:tc>
        <w:tc>
          <w:tcPr>
            <w:tcW w:w="1629" w:type="dxa"/>
            <w:vAlign w:val="center"/>
          </w:tcPr>
          <w:p>
            <w:pPr>
              <w:jc w:val="center"/>
              <w:rPr>
                <w:rFonts w:hint="eastAsia" w:ascii="宋体" w:hAnsi="宋体" w:eastAsia="宋体" w:cs="宋体"/>
                <w:color w:val="auto"/>
                <w:sz w:val="21"/>
                <w:szCs w:val="21"/>
              </w:rPr>
            </w:pPr>
          </w:p>
        </w:tc>
        <w:tc>
          <w:tcPr>
            <w:tcW w:w="1239" w:type="dxa"/>
            <w:vAlign w:val="center"/>
          </w:tcPr>
          <w:p>
            <w:pPr>
              <w:jc w:val="center"/>
              <w:rPr>
                <w:rFonts w:hint="eastAsia" w:ascii="宋体" w:hAnsi="宋体" w:eastAsia="宋体" w:cs="宋体"/>
                <w:color w:val="auto"/>
                <w:sz w:val="21"/>
                <w:szCs w:val="21"/>
              </w:rPr>
            </w:pPr>
          </w:p>
        </w:tc>
        <w:tc>
          <w:tcPr>
            <w:tcW w:w="1544" w:type="dxa"/>
            <w:vAlign w:val="center"/>
          </w:tcPr>
          <w:p>
            <w:pPr>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hint="eastAsia" w:ascii="宋体" w:hAnsi="宋体" w:eastAsia="宋体" w:cs="宋体"/>
                <w:color w:val="auto"/>
                <w:sz w:val="21"/>
                <w:szCs w:val="21"/>
              </w:rPr>
            </w:pPr>
          </w:p>
        </w:tc>
        <w:tc>
          <w:tcPr>
            <w:tcW w:w="1902" w:type="dxa"/>
            <w:vAlign w:val="center"/>
          </w:tcPr>
          <w:p>
            <w:pPr>
              <w:jc w:val="center"/>
              <w:rPr>
                <w:rFonts w:hint="eastAsia" w:ascii="宋体" w:hAnsi="宋体" w:eastAsia="宋体" w:cs="宋体"/>
                <w:color w:val="auto"/>
                <w:sz w:val="21"/>
                <w:szCs w:val="21"/>
              </w:rPr>
            </w:pPr>
          </w:p>
        </w:tc>
        <w:tc>
          <w:tcPr>
            <w:tcW w:w="1370" w:type="dxa"/>
            <w:vAlign w:val="center"/>
          </w:tcPr>
          <w:p>
            <w:pPr>
              <w:jc w:val="center"/>
              <w:rPr>
                <w:rFonts w:hint="eastAsia" w:ascii="宋体" w:hAnsi="宋体" w:eastAsia="宋体" w:cs="宋体"/>
                <w:color w:val="auto"/>
                <w:sz w:val="21"/>
                <w:szCs w:val="21"/>
              </w:rPr>
            </w:pPr>
          </w:p>
        </w:tc>
        <w:tc>
          <w:tcPr>
            <w:tcW w:w="1629" w:type="dxa"/>
            <w:vAlign w:val="center"/>
          </w:tcPr>
          <w:p>
            <w:pPr>
              <w:jc w:val="center"/>
              <w:rPr>
                <w:rFonts w:hint="eastAsia" w:ascii="宋体" w:hAnsi="宋体" w:eastAsia="宋体" w:cs="宋体"/>
                <w:color w:val="auto"/>
                <w:sz w:val="21"/>
                <w:szCs w:val="21"/>
              </w:rPr>
            </w:pPr>
          </w:p>
        </w:tc>
        <w:tc>
          <w:tcPr>
            <w:tcW w:w="1239" w:type="dxa"/>
            <w:vAlign w:val="center"/>
          </w:tcPr>
          <w:p>
            <w:pPr>
              <w:jc w:val="center"/>
              <w:rPr>
                <w:rFonts w:hint="eastAsia" w:ascii="宋体" w:hAnsi="宋体" w:eastAsia="宋体" w:cs="宋体"/>
                <w:color w:val="auto"/>
                <w:sz w:val="21"/>
                <w:szCs w:val="21"/>
              </w:rPr>
            </w:pPr>
          </w:p>
        </w:tc>
        <w:tc>
          <w:tcPr>
            <w:tcW w:w="1544" w:type="dxa"/>
            <w:vAlign w:val="center"/>
          </w:tcPr>
          <w:p>
            <w:pPr>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hint="eastAsia" w:ascii="宋体" w:hAnsi="宋体" w:eastAsia="宋体" w:cs="宋体"/>
                <w:color w:val="auto"/>
                <w:sz w:val="21"/>
                <w:szCs w:val="21"/>
              </w:rPr>
            </w:pPr>
          </w:p>
        </w:tc>
        <w:tc>
          <w:tcPr>
            <w:tcW w:w="1902" w:type="dxa"/>
            <w:vAlign w:val="center"/>
          </w:tcPr>
          <w:p>
            <w:pPr>
              <w:jc w:val="center"/>
              <w:rPr>
                <w:rFonts w:hint="eastAsia" w:ascii="宋体" w:hAnsi="宋体" w:eastAsia="宋体" w:cs="宋体"/>
                <w:color w:val="auto"/>
                <w:sz w:val="21"/>
                <w:szCs w:val="21"/>
              </w:rPr>
            </w:pPr>
          </w:p>
        </w:tc>
        <w:tc>
          <w:tcPr>
            <w:tcW w:w="1370" w:type="dxa"/>
            <w:vAlign w:val="center"/>
          </w:tcPr>
          <w:p>
            <w:pPr>
              <w:jc w:val="center"/>
              <w:rPr>
                <w:rFonts w:hint="eastAsia" w:ascii="宋体" w:hAnsi="宋体" w:eastAsia="宋体" w:cs="宋体"/>
                <w:color w:val="auto"/>
                <w:sz w:val="21"/>
                <w:szCs w:val="21"/>
              </w:rPr>
            </w:pPr>
          </w:p>
        </w:tc>
        <w:tc>
          <w:tcPr>
            <w:tcW w:w="1629" w:type="dxa"/>
            <w:vAlign w:val="center"/>
          </w:tcPr>
          <w:p>
            <w:pPr>
              <w:jc w:val="center"/>
              <w:rPr>
                <w:rFonts w:hint="eastAsia" w:ascii="宋体" w:hAnsi="宋体" w:eastAsia="宋体" w:cs="宋体"/>
                <w:color w:val="auto"/>
                <w:sz w:val="21"/>
                <w:szCs w:val="21"/>
              </w:rPr>
            </w:pPr>
          </w:p>
        </w:tc>
        <w:tc>
          <w:tcPr>
            <w:tcW w:w="1239" w:type="dxa"/>
            <w:vAlign w:val="center"/>
          </w:tcPr>
          <w:p>
            <w:pPr>
              <w:jc w:val="center"/>
              <w:rPr>
                <w:rFonts w:hint="eastAsia" w:ascii="宋体" w:hAnsi="宋体" w:eastAsia="宋体" w:cs="宋体"/>
                <w:color w:val="auto"/>
                <w:sz w:val="21"/>
                <w:szCs w:val="21"/>
              </w:rPr>
            </w:pPr>
          </w:p>
        </w:tc>
        <w:tc>
          <w:tcPr>
            <w:tcW w:w="1544" w:type="dxa"/>
            <w:vAlign w:val="center"/>
          </w:tcPr>
          <w:p>
            <w:pPr>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hint="eastAsia" w:ascii="宋体" w:hAnsi="宋体" w:eastAsia="宋体" w:cs="宋体"/>
                <w:color w:val="auto"/>
                <w:sz w:val="21"/>
                <w:szCs w:val="21"/>
              </w:rPr>
            </w:pPr>
          </w:p>
        </w:tc>
        <w:tc>
          <w:tcPr>
            <w:tcW w:w="1902" w:type="dxa"/>
            <w:vAlign w:val="center"/>
          </w:tcPr>
          <w:p>
            <w:pPr>
              <w:jc w:val="center"/>
              <w:rPr>
                <w:rFonts w:hint="eastAsia" w:ascii="宋体" w:hAnsi="宋体" w:eastAsia="宋体" w:cs="宋体"/>
                <w:color w:val="auto"/>
                <w:sz w:val="21"/>
                <w:szCs w:val="21"/>
              </w:rPr>
            </w:pPr>
          </w:p>
        </w:tc>
        <w:tc>
          <w:tcPr>
            <w:tcW w:w="1370" w:type="dxa"/>
            <w:vAlign w:val="center"/>
          </w:tcPr>
          <w:p>
            <w:pPr>
              <w:jc w:val="center"/>
              <w:rPr>
                <w:rFonts w:hint="eastAsia" w:ascii="宋体" w:hAnsi="宋体" w:eastAsia="宋体" w:cs="宋体"/>
                <w:color w:val="auto"/>
                <w:sz w:val="21"/>
                <w:szCs w:val="21"/>
              </w:rPr>
            </w:pPr>
          </w:p>
        </w:tc>
        <w:tc>
          <w:tcPr>
            <w:tcW w:w="1629" w:type="dxa"/>
            <w:vAlign w:val="center"/>
          </w:tcPr>
          <w:p>
            <w:pPr>
              <w:jc w:val="center"/>
              <w:rPr>
                <w:rFonts w:hint="eastAsia" w:ascii="宋体" w:hAnsi="宋体" w:eastAsia="宋体" w:cs="宋体"/>
                <w:color w:val="auto"/>
                <w:sz w:val="21"/>
                <w:szCs w:val="21"/>
              </w:rPr>
            </w:pPr>
          </w:p>
        </w:tc>
        <w:tc>
          <w:tcPr>
            <w:tcW w:w="1239" w:type="dxa"/>
            <w:vAlign w:val="center"/>
          </w:tcPr>
          <w:p>
            <w:pPr>
              <w:jc w:val="center"/>
              <w:rPr>
                <w:rFonts w:hint="eastAsia" w:ascii="宋体" w:hAnsi="宋体" w:eastAsia="宋体" w:cs="宋体"/>
                <w:color w:val="auto"/>
                <w:sz w:val="21"/>
                <w:szCs w:val="21"/>
              </w:rPr>
            </w:pPr>
          </w:p>
        </w:tc>
        <w:tc>
          <w:tcPr>
            <w:tcW w:w="1544" w:type="dxa"/>
            <w:vAlign w:val="center"/>
          </w:tcPr>
          <w:p>
            <w:pPr>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hint="eastAsia" w:ascii="宋体" w:hAnsi="宋体" w:eastAsia="宋体" w:cs="宋体"/>
                <w:color w:val="auto"/>
                <w:sz w:val="21"/>
                <w:szCs w:val="21"/>
              </w:rPr>
            </w:pPr>
          </w:p>
        </w:tc>
        <w:tc>
          <w:tcPr>
            <w:tcW w:w="1902" w:type="dxa"/>
            <w:vAlign w:val="center"/>
          </w:tcPr>
          <w:p>
            <w:pPr>
              <w:jc w:val="center"/>
              <w:rPr>
                <w:rFonts w:hint="eastAsia" w:ascii="宋体" w:hAnsi="宋体" w:eastAsia="宋体" w:cs="宋体"/>
                <w:color w:val="auto"/>
                <w:sz w:val="21"/>
                <w:szCs w:val="21"/>
              </w:rPr>
            </w:pPr>
          </w:p>
        </w:tc>
        <w:tc>
          <w:tcPr>
            <w:tcW w:w="1370" w:type="dxa"/>
            <w:vAlign w:val="center"/>
          </w:tcPr>
          <w:p>
            <w:pPr>
              <w:jc w:val="center"/>
              <w:rPr>
                <w:rFonts w:hint="eastAsia" w:ascii="宋体" w:hAnsi="宋体" w:eastAsia="宋体" w:cs="宋体"/>
                <w:color w:val="auto"/>
                <w:sz w:val="21"/>
                <w:szCs w:val="21"/>
              </w:rPr>
            </w:pPr>
          </w:p>
        </w:tc>
        <w:tc>
          <w:tcPr>
            <w:tcW w:w="1629" w:type="dxa"/>
            <w:vAlign w:val="center"/>
          </w:tcPr>
          <w:p>
            <w:pPr>
              <w:jc w:val="center"/>
              <w:rPr>
                <w:rFonts w:hint="eastAsia" w:ascii="宋体" w:hAnsi="宋体" w:eastAsia="宋体" w:cs="宋体"/>
                <w:color w:val="auto"/>
                <w:sz w:val="21"/>
                <w:szCs w:val="21"/>
              </w:rPr>
            </w:pPr>
          </w:p>
        </w:tc>
        <w:tc>
          <w:tcPr>
            <w:tcW w:w="1239" w:type="dxa"/>
            <w:vAlign w:val="center"/>
          </w:tcPr>
          <w:p>
            <w:pPr>
              <w:jc w:val="center"/>
              <w:rPr>
                <w:rFonts w:hint="eastAsia" w:ascii="宋体" w:hAnsi="宋体" w:eastAsia="宋体" w:cs="宋体"/>
                <w:color w:val="auto"/>
                <w:sz w:val="21"/>
                <w:szCs w:val="21"/>
              </w:rPr>
            </w:pPr>
          </w:p>
        </w:tc>
        <w:tc>
          <w:tcPr>
            <w:tcW w:w="1544" w:type="dxa"/>
            <w:vAlign w:val="center"/>
          </w:tcPr>
          <w:p>
            <w:pPr>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hint="eastAsia" w:ascii="宋体" w:hAnsi="宋体" w:eastAsia="宋体" w:cs="宋体"/>
                <w:color w:val="auto"/>
                <w:sz w:val="21"/>
                <w:szCs w:val="21"/>
              </w:rPr>
            </w:pPr>
          </w:p>
        </w:tc>
        <w:tc>
          <w:tcPr>
            <w:tcW w:w="1902" w:type="dxa"/>
            <w:vAlign w:val="center"/>
          </w:tcPr>
          <w:p>
            <w:pPr>
              <w:jc w:val="center"/>
              <w:rPr>
                <w:rFonts w:hint="eastAsia" w:ascii="宋体" w:hAnsi="宋体" w:eastAsia="宋体" w:cs="宋体"/>
                <w:color w:val="auto"/>
                <w:sz w:val="21"/>
                <w:szCs w:val="21"/>
              </w:rPr>
            </w:pPr>
          </w:p>
        </w:tc>
        <w:tc>
          <w:tcPr>
            <w:tcW w:w="1370" w:type="dxa"/>
            <w:vAlign w:val="center"/>
          </w:tcPr>
          <w:p>
            <w:pPr>
              <w:jc w:val="center"/>
              <w:rPr>
                <w:rFonts w:hint="eastAsia" w:ascii="宋体" w:hAnsi="宋体" w:eastAsia="宋体" w:cs="宋体"/>
                <w:color w:val="auto"/>
                <w:sz w:val="21"/>
                <w:szCs w:val="21"/>
              </w:rPr>
            </w:pPr>
          </w:p>
        </w:tc>
        <w:tc>
          <w:tcPr>
            <w:tcW w:w="1629" w:type="dxa"/>
            <w:vAlign w:val="center"/>
          </w:tcPr>
          <w:p>
            <w:pPr>
              <w:jc w:val="center"/>
              <w:rPr>
                <w:rFonts w:hint="eastAsia" w:ascii="宋体" w:hAnsi="宋体" w:eastAsia="宋体" w:cs="宋体"/>
                <w:color w:val="auto"/>
                <w:sz w:val="21"/>
                <w:szCs w:val="21"/>
              </w:rPr>
            </w:pPr>
          </w:p>
        </w:tc>
        <w:tc>
          <w:tcPr>
            <w:tcW w:w="1239" w:type="dxa"/>
            <w:vAlign w:val="center"/>
          </w:tcPr>
          <w:p>
            <w:pPr>
              <w:jc w:val="center"/>
              <w:rPr>
                <w:rFonts w:hint="eastAsia" w:ascii="宋体" w:hAnsi="宋体" w:eastAsia="宋体" w:cs="宋体"/>
                <w:color w:val="auto"/>
                <w:sz w:val="21"/>
                <w:szCs w:val="21"/>
              </w:rPr>
            </w:pPr>
          </w:p>
        </w:tc>
        <w:tc>
          <w:tcPr>
            <w:tcW w:w="1544" w:type="dxa"/>
            <w:vAlign w:val="center"/>
          </w:tcPr>
          <w:p>
            <w:pPr>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hint="eastAsia" w:ascii="宋体" w:hAnsi="宋体" w:eastAsia="宋体" w:cs="宋体"/>
                <w:color w:val="auto"/>
                <w:sz w:val="21"/>
                <w:szCs w:val="21"/>
              </w:rPr>
            </w:pPr>
          </w:p>
        </w:tc>
        <w:tc>
          <w:tcPr>
            <w:tcW w:w="1902" w:type="dxa"/>
            <w:vAlign w:val="center"/>
          </w:tcPr>
          <w:p>
            <w:pPr>
              <w:jc w:val="center"/>
              <w:rPr>
                <w:rFonts w:hint="eastAsia" w:ascii="宋体" w:hAnsi="宋体" w:eastAsia="宋体" w:cs="宋体"/>
                <w:color w:val="auto"/>
                <w:sz w:val="21"/>
                <w:szCs w:val="21"/>
              </w:rPr>
            </w:pPr>
          </w:p>
        </w:tc>
        <w:tc>
          <w:tcPr>
            <w:tcW w:w="1370" w:type="dxa"/>
            <w:vAlign w:val="center"/>
          </w:tcPr>
          <w:p>
            <w:pPr>
              <w:jc w:val="center"/>
              <w:rPr>
                <w:rFonts w:hint="eastAsia" w:ascii="宋体" w:hAnsi="宋体" w:eastAsia="宋体" w:cs="宋体"/>
                <w:color w:val="auto"/>
                <w:sz w:val="21"/>
                <w:szCs w:val="21"/>
              </w:rPr>
            </w:pPr>
          </w:p>
        </w:tc>
        <w:tc>
          <w:tcPr>
            <w:tcW w:w="1629" w:type="dxa"/>
            <w:vAlign w:val="center"/>
          </w:tcPr>
          <w:p>
            <w:pPr>
              <w:jc w:val="center"/>
              <w:rPr>
                <w:rFonts w:hint="eastAsia" w:ascii="宋体" w:hAnsi="宋体" w:eastAsia="宋体" w:cs="宋体"/>
                <w:color w:val="auto"/>
                <w:sz w:val="21"/>
                <w:szCs w:val="21"/>
              </w:rPr>
            </w:pPr>
          </w:p>
        </w:tc>
        <w:tc>
          <w:tcPr>
            <w:tcW w:w="1239" w:type="dxa"/>
            <w:vAlign w:val="center"/>
          </w:tcPr>
          <w:p>
            <w:pPr>
              <w:jc w:val="center"/>
              <w:rPr>
                <w:rFonts w:hint="eastAsia" w:ascii="宋体" w:hAnsi="宋体" w:eastAsia="宋体" w:cs="宋体"/>
                <w:color w:val="auto"/>
                <w:sz w:val="21"/>
                <w:szCs w:val="21"/>
              </w:rPr>
            </w:pPr>
          </w:p>
        </w:tc>
        <w:tc>
          <w:tcPr>
            <w:tcW w:w="1544" w:type="dxa"/>
            <w:vAlign w:val="center"/>
          </w:tcPr>
          <w:p>
            <w:pPr>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hint="eastAsia" w:ascii="宋体" w:hAnsi="宋体" w:eastAsia="宋体" w:cs="宋体"/>
                <w:color w:val="auto"/>
                <w:sz w:val="21"/>
                <w:szCs w:val="21"/>
              </w:rPr>
            </w:pPr>
          </w:p>
        </w:tc>
        <w:tc>
          <w:tcPr>
            <w:tcW w:w="1902" w:type="dxa"/>
            <w:vAlign w:val="center"/>
          </w:tcPr>
          <w:p>
            <w:pPr>
              <w:jc w:val="center"/>
              <w:rPr>
                <w:rFonts w:hint="eastAsia" w:ascii="宋体" w:hAnsi="宋体" w:eastAsia="宋体" w:cs="宋体"/>
                <w:color w:val="auto"/>
                <w:sz w:val="21"/>
                <w:szCs w:val="21"/>
              </w:rPr>
            </w:pPr>
          </w:p>
        </w:tc>
        <w:tc>
          <w:tcPr>
            <w:tcW w:w="1370" w:type="dxa"/>
            <w:vAlign w:val="center"/>
          </w:tcPr>
          <w:p>
            <w:pPr>
              <w:jc w:val="center"/>
              <w:rPr>
                <w:rFonts w:hint="eastAsia" w:ascii="宋体" w:hAnsi="宋体" w:eastAsia="宋体" w:cs="宋体"/>
                <w:color w:val="auto"/>
                <w:sz w:val="21"/>
                <w:szCs w:val="21"/>
              </w:rPr>
            </w:pPr>
          </w:p>
        </w:tc>
        <w:tc>
          <w:tcPr>
            <w:tcW w:w="1629" w:type="dxa"/>
            <w:vAlign w:val="center"/>
          </w:tcPr>
          <w:p>
            <w:pPr>
              <w:jc w:val="center"/>
              <w:rPr>
                <w:rFonts w:hint="eastAsia" w:ascii="宋体" w:hAnsi="宋体" w:eastAsia="宋体" w:cs="宋体"/>
                <w:color w:val="auto"/>
                <w:sz w:val="21"/>
                <w:szCs w:val="21"/>
              </w:rPr>
            </w:pPr>
          </w:p>
        </w:tc>
        <w:tc>
          <w:tcPr>
            <w:tcW w:w="1239" w:type="dxa"/>
            <w:vAlign w:val="center"/>
          </w:tcPr>
          <w:p>
            <w:pPr>
              <w:jc w:val="center"/>
              <w:rPr>
                <w:rFonts w:hint="eastAsia" w:ascii="宋体" w:hAnsi="宋体" w:eastAsia="宋体" w:cs="宋体"/>
                <w:color w:val="auto"/>
                <w:sz w:val="21"/>
                <w:szCs w:val="21"/>
              </w:rPr>
            </w:pPr>
          </w:p>
        </w:tc>
        <w:tc>
          <w:tcPr>
            <w:tcW w:w="1544" w:type="dxa"/>
            <w:vAlign w:val="center"/>
          </w:tcPr>
          <w:p>
            <w:pPr>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hint="eastAsia" w:ascii="宋体" w:hAnsi="宋体" w:eastAsia="宋体" w:cs="宋体"/>
                <w:color w:val="auto"/>
                <w:sz w:val="21"/>
                <w:szCs w:val="21"/>
              </w:rPr>
            </w:pPr>
          </w:p>
        </w:tc>
        <w:tc>
          <w:tcPr>
            <w:tcW w:w="1902" w:type="dxa"/>
            <w:vAlign w:val="center"/>
          </w:tcPr>
          <w:p>
            <w:pPr>
              <w:jc w:val="center"/>
              <w:rPr>
                <w:rFonts w:hint="eastAsia" w:ascii="宋体" w:hAnsi="宋体" w:eastAsia="宋体" w:cs="宋体"/>
                <w:color w:val="auto"/>
                <w:sz w:val="21"/>
                <w:szCs w:val="21"/>
              </w:rPr>
            </w:pPr>
          </w:p>
        </w:tc>
        <w:tc>
          <w:tcPr>
            <w:tcW w:w="1370" w:type="dxa"/>
            <w:vAlign w:val="center"/>
          </w:tcPr>
          <w:p>
            <w:pPr>
              <w:jc w:val="center"/>
              <w:rPr>
                <w:rFonts w:hint="eastAsia" w:ascii="宋体" w:hAnsi="宋体" w:eastAsia="宋体" w:cs="宋体"/>
                <w:color w:val="auto"/>
                <w:sz w:val="21"/>
                <w:szCs w:val="21"/>
              </w:rPr>
            </w:pPr>
          </w:p>
        </w:tc>
        <w:tc>
          <w:tcPr>
            <w:tcW w:w="1629" w:type="dxa"/>
            <w:vAlign w:val="center"/>
          </w:tcPr>
          <w:p>
            <w:pPr>
              <w:jc w:val="center"/>
              <w:rPr>
                <w:rFonts w:hint="eastAsia" w:ascii="宋体" w:hAnsi="宋体" w:eastAsia="宋体" w:cs="宋体"/>
                <w:color w:val="auto"/>
                <w:sz w:val="21"/>
                <w:szCs w:val="21"/>
              </w:rPr>
            </w:pPr>
          </w:p>
        </w:tc>
        <w:tc>
          <w:tcPr>
            <w:tcW w:w="1239" w:type="dxa"/>
            <w:vAlign w:val="center"/>
          </w:tcPr>
          <w:p>
            <w:pPr>
              <w:jc w:val="center"/>
              <w:rPr>
                <w:rFonts w:hint="eastAsia" w:ascii="宋体" w:hAnsi="宋体" w:eastAsia="宋体" w:cs="宋体"/>
                <w:color w:val="auto"/>
                <w:sz w:val="21"/>
                <w:szCs w:val="21"/>
              </w:rPr>
            </w:pPr>
          </w:p>
        </w:tc>
        <w:tc>
          <w:tcPr>
            <w:tcW w:w="1544" w:type="dxa"/>
            <w:vAlign w:val="center"/>
          </w:tcPr>
          <w:p>
            <w:pPr>
              <w:jc w:val="center"/>
              <w:rPr>
                <w:rFonts w:hint="eastAsia" w:ascii="宋体" w:hAnsi="宋体" w:eastAsia="宋体" w:cs="宋体"/>
                <w:color w:val="auto"/>
                <w:sz w:val="21"/>
                <w:szCs w:val="21"/>
              </w:rPr>
            </w:pPr>
          </w:p>
        </w:tc>
      </w:tr>
    </w:tbl>
    <w:p>
      <w:pPr>
        <w:rPr>
          <w:rFonts w:hint="eastAsia" w:ascii="宋体" w:hAnsi="宋体" w:eastAsia="宋体" w:cs="宋体"/>
          <w:color w:val="auto"/>
          <w:sz w:val="21"/>
          <w:szCs w:val="21"/>
        </w:rPr>
      </w:pPr>
    </w:p>
    <w:p>
      <w:pPr>
        <w:rPr>
          <w:rFonts w:hint="eastAsia" w:ascii="宋体" w:hAnsi="宋体" w:eastAsia="宋体" w:cs="宋体"/>
          <w:color w:val="auto"/>
          <w:sz w:val="21"/>
          <w:szCs w:val="21"/>
        </w:rPr>
      </w:pPr>
      <w:r>
        <w:rPr>
          <w:rFonts w:hint="eastAsia" w:ascii="宋体" w:hAnsi="宋体" w:eastAsia="宋体" w:cs="宋体"/>
          <w:color w:val="auto"/>
          <w:sz w:val="21"/>
          <w:szCs w:val="21"/>
        </w:rPr>
        <w:t>投标人代表签字：</w:t>
      </w:r>
    </w:p>
    <w:p>
      <w:pPr>
        <w:rPr>
          <w:rFonts w:hint="eastAsia" w:ascii="宋体" w:hAnsi="宋体" w:eastAsia="宋体" w:cs="宋体"/>
          <w:color w:val="auto"/>
          <w:sz w:val="21"/>
          <w:szCs w:val="21"/>
        </w:rPr>
      </w:pPr>
      <w:r>
        <w:rPr>
          <w:rFonts w:hint="eastAsia" w:ascii="宋体" w:hAnsi="宋体" w:eastAsia="宋体" w:cs="宋体"/>
          <w:color w:val="auto"/>
          <w:sz w:val="21"/>
          <w:szCs w:val="21"/>
        </w:rPr>
        <w:t>投标人盖章：</w:t>
      </w:r>
    </w:p>
    <w:p>
      <w:pPr>
        <w:ind w:firstLine="178" w:firstLineChars="85"/>
        <w:rPr>
          <w:rFonts w:hint="eastAsia" w:ascii="宋体" w:hAnsi="宋体" w:eastAsia="宋体" w:cs="宋体"/>
          <w:color w:val="auto"/>
          <w:sz w:val="21"/>
          <w:szCs w:val="21"/>
        </w:rPr>
      </w:pPr>
    </w:p>
    <w:p>
      <w:pPr>
        <w:rPr>
          <w:rFonts w:hint="eastAsia" w:ascii="宋体" w:hAnsi="宋体" w:eastAsia="宋体" w:cs="宋体"/>
          <w:color w:val="auto"/>
          <w:sz w:val="21"/>
          <w:szCs w:val="21"/>
        </w:rPr>
      </w:pPr>
      <w:r>
        <w:rPr>
          <w:rFonts w:hint="eastAsia" w:ascii="宋体" w:hAnsi="宋体" w:eastAsia="宋体" w:cs="宋体"/>
          <w:color w:val="auto"/>
          <w:sz w:val="21"/>
          <w:szCs w:val="21"/>
        </w:rPr>
        <w:t>注：</w:t>
      </w:r>
    </w:p>
    <w:p>
      <w:p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1、偏离项中填写“正”、“负”或“无”，说明项中填写原因。</w:t>
      </w:r>
    </w:p>
    <w:p>
      <w:p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2、投标人应对照招标文件技术规格，说明所提供服务已对招标文件的技术规格做出了实质性的响应，并申明与技术规格条文的偏差和例外。特别对有具体参数要求的指标，投标人必须提供所投设备的具体参数值。</w:t>
      </w:r>
    </w:p>
    <w:p>
      <w:pPr>
        <w:spacing w:after="0"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3、投标人若未填写完整则视为完全响应招标文件的技术要求，因此</w:t>
      </w:r>
      <w:r>
        <w:rPr>
          <w:rFonts w:hint="eastAsia" w:ascii="宋体" w:hAnsi="宋体" w:eastAsia="宋体" w:cs="宋体"/>
          <w:color w:val="auto"/>
          <w:sz w:val="21"/>
          <w:szCs w:val="21"/>
        </w:rPr>
        <w:t>对投标人投标产生负面影响的，投标人自行承担后果。</w:t>
      </w:r>
    </w:p>
    <w:p>
      <w:pPr>
        <w:spacing w:after="0" w:line="360" w:lineRule="auto"/>
        <w:rPr>
          <w:rFonts w:hint="eastAsia" w:ascii="宋体" w:hAnsi="宋体" w:eastAsia="宋体" w:cs="宋体"/>
          <w:color w:val="auto"/>
          <w:sz w:val="21"/>
          <w:szCs w:val="21"/>
        </w:rPr>
      </w:pPr>
    </w:p>
    <w:p>
      <w:pPr>
        <w:adjustRightInd/>
        <w:snapToGrid/>
        <w:spacing w:line="276" w:lineRule="auto"/>
        <w:rPr>
          <w:rFonts w:hint="eastAsia" w:ascii="宋体" w:hAnsi="宋体" w:eastAsia="宋体" w:cs="宋体"/>
          <w:color w:val="auto"/>
        </w:rPr>
      </w:pPr>
    </w:p>
    <w:p>
      <w:pPr>
        <w:adjustRightInd/>
        <w:snapToGrid/>
        <w:spacing w:line="276" w:lineRule="auto"/>
        <w:rPr>
          <w:rFonts w:hint="eastAsia" w:ascii="宋体" w:hAnsi="宋体" w:eastAsia="宋体" w:cs="宋体"/>
          <w:color w:val="auto"/>
        </w:rPr>
      </w:pPr>
    </w:p>
    <w:p>
      <w:pPr>
        <w:adjustRightInd/>
        <w:snapToGrid/>
        <w:spacing w:line="276" w:lineRule="auto"/>
        <w:rPr>
          <w:rFonts w:hint="eastAsia" w:ascii="宋体" w:hAnsi="宋体" w:eastAsia="宋体" w:cs="宋体"/>
          <w:color w:val="auto"/>
        </w:rPr>
      </w:pPr>
    </w:p>
    <w:p>
      <w:pPr>
        <w:rPr>
          <w:rFonts w:hint="eastAsia" w:ascii="宋体" w:hAnsi="宋体" w:eastAsia="宋体" w:cs="宋体"/>
          <w:color w:val="auto"/>
          <w:sz w:val="21"/>
          <w:szCs w:val="21"/>
        </w:rPr>
      </w:pPr>
      <w:bookmarkStart w:id="114" w:name="_Toc17691"/>
      <w:r>
        <w:rPr>
          <w:rFonts w:hint="eastAsia" w:ascii="宋体" w:hAnsi="宋体" w:eastAsia="宋体" w:cs="宋体"/>
          <w:color w:val="auto"/>
          <w:sz w:val="21"/>
          <w:szCs w:val="21"/>
        </w:rPr>
        <w:br w:type="page"/>
      </w:r>
    </w:p>
    <w:p>
      <w:pPr>
        <w:pStyle w:val="5"/>
        <w:widowControl w:val="0"/>
        <w:overflowPunct w:val="0"/>
        <w:spacing w:before="0" w:after="0" w:line="240" w:lineRule="auto"/>
        <w:rPr>
          <w:rFonts w:hint="eastAsia" w:ascii="宋体" w:hAnsi="宋体" w:eastAsia="宋体" w:cs="宋体"/>
          <w:b w:val="0"/>
          <w:bCs w:val="0"/>
          <w:color w:val="auto"/>
          <w:sz w:val="32"/>
          <w:szCs w:val="32"/>
        </w:rPr>
      </w:pPr>
      <w:bookmarkStart w:id="115" w:name="_Toc31958"/>
      <w:r>
        <w:rPr>
          <w:rFonts w:hint="eastAsia" w:ascii="宋体" w:hAnsi="宋体" w:eastAsia="宋体" w:cs="宋体"/>
          <w:color w:val="auto"/>
          <w:sz w:val="21"/>
          <w:szCs w:val="21"/>
        </w:rPr>
        <w:t>附件12.重要技术参数（▲）响应表</w:t>
      </w:r>
      <w:bookmarkEnd w:id="114"/>
      <w:bookmarkEnd w:id="115"/>
    </w:p>
    <w:p>
      <w:pPr>
        <w:jc w:val="center"/>
        <w:rPr>
          <w:rFonts w:hint="eastAsia" w:ascii="宋体" w:hAnsi="宋体" w:eastAsia="宋体" w:cs="宋体"/>
          <w:color w:val="auto"/>
          <w:sz w:val="28"/>
          <w:szCs w:val="28"/>
        </w:rPr>
      </w:pPr>
      <w:bookmarkStart w:id="116" w:name="_Toc6080"/>
      <w:bookmarkStart w:id="117" w:name="_Toc4827"/>
      <w:bookmarkStart w:id="118" w:name="_Toc18668"/>
      <w:bookmarkStart w:id="119" w:name="_Toc1274"/>
      <w:bookmarkStart w:id="120" w:name="_Toc4464"/>
      <w:bookmarkStart w:id="121" w:name="_Toc26078"/>
    </w:p>
    <w:p>
      <w:pPr>
        <w:jc w:val="center"/>
        <w:rPr>
          <w:rFonts w:hint="eastAsia" w:ascii="宋体" w:hAnsi="宋体" w:eastAsia="宋体" w:cs="宋体"/>
          <w:color w:val="auto"/>
          <w:sz w:val="28"/>
          <w:szCs w:val="28"/>
        </w:rPr>
      </w:pPr>
      <w:r>
        <w:rPr>
          <w:rFonts w:hint="eastAsia" w:ascii="宋体" w:hAnsi="宋体" w:eastAsia="宋体" w:cs="宋体"/>
          <w:color w:val="auto"/>
          <w:sz w:val="28"/>
          <w:szCs w:val="28"/>
        </w:rPr>
        <w:t>重要技术参数（▲）响应表</w:t>
      </w:r>
      <w:bookmarkEnd w:id="116"/>
      <w:bookmarkEnd w:id="117"/>
      <w:bookmarkEnd w:id="118"/>
      <w:bookmarkEnd w:id="119"/>
      <w:bookmarkEnd w:id="120"/>
      <w:bookmarkEnd w:id="121"/>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2"/>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hint="eastAsia" w:ascii="宋体" w:hAnsi="宋体" w:eastAsia="宋体" w:cs="宋体"/>
                <w:color w:val="auto"/>
                <w:sz w:val="21"/>
                <w:szCs w:val="21"/>
              </w:rPr>
            </w:pPr>
            <w:bookmarkStart w:id="122" w:name="_Toc22448"/>
            <w:bookmarkStart w:id="123" w:name="_Toc2700"/>
            <w:bookmarkStart w:id="124" w:name="_Toc12049"/>
            <w:bookmarkStart w:id="125" w:name="_Toc10045"/>
            <w:bookmarkStart w:id="126" w:name="_Toc27090"/>
            <w:bookmarkStart w:id="127" w:name="_Toc15903"/>
            <w:bookmarkStart w:id="128" w:name="_Toc14815"/>
            <w:bookmarkStart w:id="129" w:name="_Toc16872"/>
            <w:bookmarkStart w:id="130" w:name="_Toc21739"/>
            <w:r>
              <w:rPr>
                <w:rFonts w:hint="eastAsia" w:ascii="宋体" w:hAnsi="宋体" w:eastAsia="宋体" w:cs="宋体"/>
                <w:color w:val="auto"/>
                <w:sz w:val="21"/>
                <w:szCs w:val="21"/>
              </w:rPr>
              <w:t>技术参数（▲）</w:t>
            </w:r>
            <w:bookmarkEnd w:id="122"/>
            <w:bookmarkEnd w:id="123"/>
            <w:bookmarkEnd w:id="124"/>
            <w:bookmarkEnd w:id="125"/>
            <w:bookmarkEnd w:id="126"/>
            <w:bookmarkEnd w:id="127"/>
            <w:bookmarkEnd w:id="128"/>
            <w:bookmarkEnd w:id="129"/>
            <w:bookmarkEnd w:id="130"/>
          </w:p>
        </w:tc>
        <w:tc>
          <w:tcPr>
            <w:tcW w:w="2842" w:type="dxa"/>
            <w:vAlign w:val="center"/>
          </w:tcPr>
          <w:p>
            <w:pPr>
              <w:pStyle w:val="5"/>
              <w:widowControl w:val="0"/>
              <w:overflowPunct w:val="0"/>
              <w:spacing w:before="0" w:after="0" w:line="240" w:lineRule="auto"/>
              <w:jc w:val="center"/>
              <w:outlineLvl w:val="3"/>
              <w:rPr>
                <w:rFonts w:hint="eastAsia" w:ascii="宋体" w:hAnsi="宋体" w:eastAsia="宋体" w:cs="宋体"/>
                <w:color w:val="auto"/>
                <w:sz w:val="21"/>
                <w:szCs w:val="21"/>
              </w:rPr>
            </w:pPr>
            <w:bookmarkStart w:id="131" w:name="_Toc22879"/>
            <w:bookmarkStart w:id="132" w:name="_Toc19251"/>
            <w:bookmarkStart w:id="133" w:name="_Toc7333"/>
            <w:bookmarkStart w:id="134" w:name="_Toc24662"/>
            <w:bookmarkStart w:id="135" w:name="_Toc32531"/>
            <w:bookmarkStart w:id="136" w:name="_Toc8490"/>
            <w:bookmarkStart w:id="137" w:name="_Toc8312"/>
            <w:bookmarkStart w:id="138" w:name="_Toc27442"/>
            <w:bookmarkStart w:id="139" w:name="_Toc21809"/>
            <w:r>
              <w:rPr>
                <w:rFonts w:hint="eastAsia" w:ascii="宋体" w:hAnsi="宋体" w:eastAsia="宋体" w:cs="宋体"/>
                <w:color w:val="auto"/>
                <w:sz w:val="21"/>
                <w:szCs w:val="21"/>
              </w:rPr>
              <w:t>是否响应</w:t>
            </w:r>
            <w:bookmarkEnd w:id="131"/>
            <w:bookmarkEnd w:id="132"/>
            <w:bookmarkEnd w:id="133"/>
            <w:bookmarkEnd w:id="134"/>
            <w:bookmarkEnd w:id="135"/>
            <w:bookmarkEnd w:id="136"/>
            <w:bookmarkEnd w:id="137"/>
            <w:bookmarkEnd w:id="138"/>
            <w:bookmarkEnd w:id="139"/>
          </w:p>
        </w:tc>
        <w:tc>
          <w:tcPr>
            <w:tcW w:w="2840" w:type="dxa"/>
            <w:vAlign w:val="center"/>
          </w:tcPr>
          <w:p>
            <w:pPr>
              <w:pStyle w:val="5"/>
              <w:widowControl w:val="0"/>
              <w:overflowPunct w:val="0"/>
              <w:spacing w:before="0" w:after="0" w:line="240" w:lineRule="auto"/>
              <w:jc w:val="center"/>
              <w:outlineLvl w:val="3"/>
              <w:rPr>
                <w:rFonts w:hint="eastAsia" w:ascii="宋体" w:hAnsi="宋体" w:eastAsia="宋体" w:cs="宋体"/>
                <w:color w:val="auto"/>
                <w:sz w:val="21"/>
                <w:szCs w:val="21"/>
              </w:rPr>
            </w:pPr>
            <w:bookmarkStart w:id="140" w:name="_Toc17296"/>
            <w:bookmarkStart w:id="141" w:name="_Toc5992"/>
            <w:bookmarkStart w:id="142" w:name="_Toc27185"/>
            <w:bookmarkStart w:id="143" w:name="_Toc17642"/>
            <w:bookmarkStart w:id="144" w:name="_Toc20820"/>
            <w:bookmarkStart w:id="145" w:name="_Toc20139"/>
            <w:bookmarkStart w:id="146" w:name="_Toc1330"/>
            <w:bookmarkStart w:id="147" w:name="_Toc5563"/>
            <w:bookmarkStart w:id="148" w:name="_Toc3701"/>
            <w:r>
              <w:rPr>
                <w:rFonts w:hint="eastAsia" w:ascii="宋体" w:hAnsi="宋体" w:eastAsia="宋体" w:cs="宋体"/>
                <w:color w:val="auto"/>
                <w:sz w:val="21"/>
                <w:szCs w:val="21"/>
              </w:rPr>
              <w:t>页码范围</w:t>
            </w:r>
            <w:bookmarkEnd w:id="140"/>
            <w:bookmarkEnd w:id="141"/>
            <w:bookmarkEnd w:id="142"/>
            <w:bookmarkEnd w:id="143"/>
            <w:bookmarkEnd w:id="144"/>
            <w:bookmarkEnd w:id="145"/>
            <w:bookmarkEnd w:id="146"/>
            <w:bookmarkEnd w:id="147"/>
            <w:bookmarkEnd w:id="14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hint="eastAsia" w:ascii="宋体" w:hAnsi="宋体" w:eastAsia="宋体" w:cs="宋体"/>
                <w:color w:val="auto"/>
                <w:sz w:val="21"/>
                <w:szCs w:val="21"/>
              </w:rPr>
            </w:pPr>
          </w:p>
        </w:tc>
        <w:tc>
          <w:tcPr>
            <w:tcW w:w="2842" w:type="dxa"/>
            <w:vAlign w:val="center"/>
          </w:tcPr>
          <w:p>
            <w:pPr>
              <w:pStyle w:val="5"/>
              <w:widowControl w:val="0"/>
              <w:overflowPunct w:val="0"/>
              <w:spacing w:before="0" w:after="0" w:line="240" w:lineRule="auto"/>
              <w:jc w:val="center"/>
              <w:outlineLvl w:val="3"/>
              <w:rPr>
                <w:rFonts w:hint="eastAsia" w:ascii="宋体" w:hAnsi="宋体" w:eastAsia="宋体" w:cs="宋体"/>
                <w:color w:val="auto"/>
                <w:sz w:val="21"/>
                <w:szCs w:val="21"/>
              </w:rPr>
            </w:pPr>
          </w:p>
        </w:tc>
        <w:tc>
          <w:tcPr>
            <w:tcW w:w="2840" w:type="dxa"/>
            <w:vAlign w:val="center"/>
          </w:tcPr>
          <w:p>
            <w:pPr>
              <w:pStyle w:val="5"/>
              <w:widowControl w:val="0"/>
              <w:overflowPunct w:val="0"/>
              <w:spacing w:before="0" w:after="0" w:line="240" w:lineRule="auto"/>
              <w:jc w:val="center"/>
              <w:outlineLvl w:val="3"/>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hint="eastAsia" w:ascii="宋体" w:hAnsi="宋体" w:eastAsia="宋体" w:cs="宋体"/>
                <w:color w:val="auto"/>
                <w:sz w:val="21"/>
                <w:szCs w:val="21"/>
              </w:rPr>
            </w:pPr>
          </w:p>
        </w:tc>
        <w:tc>
          <w:tcPr>
            <w:tcW w:w="2842" w:type="dxa"/>
            <w:vAlign w:val="center"/>
          </w:tcPr>
          <w:p>
            <w:pPr>
              <w:pStyle w:val="5"/>
              <w:widowControl w:val="0"/>
              <w:overflowPunct w:val="0"/>
              <w:spacing w:before="0" w:after="0" w:line="240" w:lineRule="auto"/>
              <w:jc w:val="center"/>
              <w:outlineLvl w:val="3"/>
              <w:rPr>
                <w:rFonts w:hint="eastAsia" w:ascii="宋体" w:hAnsi="宋体" w:eastAsia="宋体" w:cs="宋体"/>
                <w:color w:val="auto"/>
                <w:sz w:val="21"/>
                <w:szCs w:val="21"/>
              </w:rPr>
            </w:pPr>
          </w:p>
        </w:tc>
        <w:tc>
          <w:tcPr>
            <w:tcW w:w="2840" w:type="dxa"/>
            <w:vAlign w:val="center"/>
          </w:tcPr>
          <w:p>
            <w:pPr>
              <w:pStyle w:val="5"/>
              <w:widowControl w:val="0"/>
              <w:overflowPunct w:val="0"/>
              <w:spacing w:before="0" w:after="0" w:line="240" w:lineRule="auto"/>
              <w:jc w:val="center"/>
              <w:outlineLvl w:val="3"/>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hint="eastAsia" w:ascii="宋体" w:hAnsi="宋体" w:eastAsia="宋体" w:cs="宋体"/>
                <w:color w:val="auto"/>
                <w:sz w:val="21"/>
                <w:szCs w:val="21"/>
              </w:rPr>
            </w:pPr>
          </w:p>
        </w:tc>
        <w:tc>
          <w:tcPr>
            <w:tcW w:w="2842" w:type="dxa"/>
            <w:vAlign w:val="center"/>
          </w:tcPr>
          <w:p>
            <w:pPr>
              <w:pStyle w:val="5"/>
              <w:widowControl w:val="0"/>
              <w:overflowPunct w:val="0"/>
              <w:spacing w:before="0" w:after="0" w:line="240" w:lineRule="auto"/>
              <w:jc w:val="center"/>
              <w:outlineLvl w:val="3"/>
              <w:rPr>
                <w:rFonts w:hint="eastAsia" w:ascii="宋体" w:hAnsi="宋体" w:eastAsia="宋体" w:cs="宋体"/>
                <w:color w:val="auto"/>
                <w:sz w:val="21"/>
                <w:szCs w:val="21"/>
              </w:rPr>
            </w:pPr>
          </w:p>
        </w:tc>
        <w:tc>
          <w:tcPr>
            <w:tcW w:w="2840" w:type="dxa"/>
            <w:vAlign w:val="center"/>
          </w:tcPr>
          <w:p>
            <w:pPr>
              <w:pStyle w:val="5"/>
              <w:widowControl w:val="0"/>
              <w:overflowPunct w:val="0"/>
              <w:spacing w:before="0" w:after="0" w:line="240" w:lineRule="auto"/>
              <w:jc w:val="center"/>
              <w:outlineLvl w:val="3"/>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hint="eastAsia" w:ascii="宋体" w:hAnsi="宋体" w:eastAsia="宋体" w:cs="宋体"/>
                <w:color w:val="auto"/>
                <w:sz w:val="21"/>
                <w:szCs w:val="21"/>
              </w:rPr>
            </w:pPr>
          </w:p>
        </w:tc>
        <w:tc>
          <w:tcPr>
            <w:tcW w:w="2842" w:type="dxa"/>
            <w:vAlign w:val="center"/>
          </w:tcPr>
          <w:p>
            <w:pPr>
              <w:pStyle w:val="5"/>
              <w:widowControl w:val="0"/>
              <w:overflowPunct w:val="0"/>
              <w:spacing w:before="0" w:after="0" w:line="240" w:lineRule="auto"/>
              <w:jc w:val="center"/>
              <w:outlineLvl w:val="3"/>
              <w:rPr>
                <w:rFonts w:hint="eastAsia" w:ascii="宋体" w:hAnsi="宋体" w:eastAsia="宋体" w:cs="宋体"/>
                <w:color w:val="auto"/>
                <w:sz w:val="21"/>
                <w:szCs w:val="21"/>
              </w:rPr>
            </w:pPr>
          </w:p>
        </w:tc>
        <w:tc>
          <w:tcPr>
            <w:tcW w:w="2840" w:type="dxa"/>
            <w:vAlign w:val="center"/>
          </w:tcPr>
          <w:p>
            <w:pPr>
              <w:pStyle w:val="5"/>
              <w:widowControl w:val="0"/>
              <w:overflowPunct w:val="0"/>
              <w:spacing w:before="0" w:after="0" w:line="240" w:lineRule="auto"/>
              <w:jc w:val="center"/>
              <w:outlineLvl w:val="3"/>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hint="eastAsia" w:ascii="宋体" w:hAnsi="宋体" w:eastAsia="宋体" w:cs="宋体"/>
                <w:color w:val="auto"/>
                <w:sz w:val="21"/>
                <w:szCs w:val="21"/>
              </w:rPr>
            </w:pPr>
          </w:p>
        </w:tc>
        <w:tc>
          <w:tcPr>
            <w:tcW w:w="2842" w:type="dxa"/>
            <w:vAlign w:val="center"/>
          </w:tcPr>
          <w:p>
            <w:pPr>
              <w:pStyle w:val="5"/>
              <w:widowControl w:val="0"/>
              <w:overflowPunct w:val="0"/>
              <w:spacing w:before="0" w:after="0" w:line="240" w:lineRule="auto"/>
              <w:jc w:val="center"/>
              <w:outlineLvl w:val="3"/>
              <w:rPr>
                <w:rFonts w:hint="eastAsia" w:ascii="宋体" w:hAnsi="宋体" w:eastAsia="宋体" w:cs="宋体"/>
                <w:color w:val="auto"/>
                <w:sz w:val="21"/>
                <w:szCs w:val="21"/>
              </w:rPr>
            </w:pPr>
          </w:p>
        </w:tc>
        <w:tc>
          <w:tcPr>
            <w:tcW w:w="2840" w:type="dxa"/>
            <w:vAlign w:val="center"/>
          </w:tcPr>
          <w:p>
            <w:pPr>
              <w:pStyle w:val="5"/>
              <w:widowControl w:val="0"/>
              <w:overflowPunct w:val="0"/>
              <w:spacing w:before="0" w:after="0" w:line="240" w:lineRule="auto"/>
              <w:jc w:val="center"/>
              <w:outlineLvl w:val="3"/>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hint="eastAsia" w:ascii="宋体" w:hAnsi="宋体" w:eastAsia="宋体" w:cs="宋体"/>
                <w:color w:val="auto"/>
                <w:sz w:val="21"/>
                <w:szCs w:val="21"/>
              </w:rPr>
            </w:pPr>
          </w:p>
        </w:tc>
        <w:tc>
          <w:tcPr>
            <w:tcW w:w="2842" w:type="dxa"/>
            <w:vAlign w:val="center"/>
          </w:tcPr>
          <w:p>
            <w:pPr>
              <w:pStyle w:val="5"/>
              <w:widowControl w:val="0"/>
              <w:overflowPunct w:val="0"/>
              <w:spacing w:before="0" w:after="0" w:line="240" w:lineRule="auto"/>
              <w:jc w:val="center"/>
              <w:outlineLvl w:val="3"/>
              <w:rPr>
                <w:rFonts w:hint="eastAsia" w:ascii="宋体" w:hAnsi="宋体" w:eastAsia="宋体" w:cs="宋体"/>
                <w:color w:val="auto"/>
                <w:sz w:val="21"/>
                <w:szCs w:val="21"/>
              </w:rPr>
            </w:pPr>
          </w:p>
        </w:tc>
        <w:tc>
          <w:tcPr>
            <w:tcW w:w="2840" w:type="dxa"/>
            <w:vAlign w:val="center"/>
          </w:tcPr>
          <w:p>
            <w:pPr>
              <w:pStyle w:val="5"/>
              <w:widowControl w:val="0"/>
              <w:overflowPunct w:val="0"/>
              <w:spacing w:before="0" w:after="0" w:line="240" w:lineRule="auto"/>
              <w:jc w:val="center"/>
              <w:outlineLvl w:val="3"/>
              <w:rPr>
                <w:rFonts w:hint="eastAsia" w:ascii="宋体" w:hAnsi="宋体" w:eastAsia="宋体" w:cs="宋体"/>
                <w:color w:val="auto"/>
                <w:sz w:val="21"/>
                <w:szCs w:val="21"/>
              </w:rPr>
            </w:pPr>
          </w:p>
        </w:tc>
      </w:tr>
    </w:tbl>
    <w:p>
      <w:pPr>
        <w:pStyle w:val="23"/>
        <w:spacing w:after="0" w:line="360" w:lineRule="auto"/>
        <w:rPr>
          <w:rFonts w:hint="eastAsia" w:ascii="宋体" w:hAnsi="宋体" w:eastAsia="宋体" w:cs="宋体"/>
          <w:color w:val="auto"/>
          <w:sz w:val="21"/>
          <w:szCs w:val="21"/>
        </w:rPr>
      </w:pPr>
    </w:p>
    <w:p>
      <w:pPr>
        <w:pStyle w:val="23"/>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注：</w:t>
      </w:r>
    </w:p>
    <w:p>
      <w:pPr>
        <w:pStyle w:val="23"/>
        <w:numPr>
          <w:ilvl w:val="0"/>
          <w:numId w:val="10"/>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该表格为参考格式，投标人可按实际情况自行制订。</w:t>
      </w:r>
    </w:p>
    <w:p>
      <w:pPr>
        <w:pStyle w:val="23"/>
        <w:numPr>
          <w:ilvl w:val="0"/>
          <w:numId w:val="10"/>
        </w:numPr>
        <w:spacing w:after="0" w:line="360" w:lineRule="auto"/>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rPr>
        <w:t>投标人可按项目的实际需要提供本表格。</w:t>
      </w:r>
      <w:r>
        <w:rPr>
          <w:rFonts w:hint="eastAsia" w:ascii="宋体" w:hAnsi="宋体" w:eastAsia="宋体" w:cs="宋体"/>
          <w:b/>
          <w:bCs/>
          <w:color w:val="auto"/>
          <w:sz w:val="21"/>
          <w:szCs w:val="21"/>
          <w:lang w:eastAsia="zh-CN"/>
        </w:rPr>
        <w:t>招标文件内未涉及▲参数的，此表可以不用提供。</w:t>
      </w:r>
    </w:p>
    <w:p>
      <w:pPr>
        <w:pStyle w:val="23"/>
        <w:numPr>
          <w:ilvl w:val="0"/>
          <w:numId w:val="10"/>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响应表所列出的材料应为真实准确的，若文件需要，应提供相关证明材料复印件加盖公章。请勿提供虚假、过期材料，否则将依据相关规定严肃处理</w:t>
      </w:r>
    </w:p>
    <w:p>
      <w:pPr>
        <w:pStyle w:val="23"/>
        <w:numPr>
          <w:ilvl w:val="0"/>
          <w:numId w:val="10"/>
        </w:num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若招标文件有需求，投标文件未提供重要技术参数（▲）响应表对投标人投标产生负面影响的，投标人自行承担后果。</w:t>
      </w:r>
    </w:p>
    <w:p>
      <w:pPr>
        <w:pStyle w:val="23"/>
        <w:numPr>
          <w:ilvl w:val="0"/>
          <w:numId w:val="10"/>
        </w:numPr>
        <w:spacing w:after="0"/>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pPr>
        <w:pStyle w:val="5"/>
        <w:widowControl w:val="0"/>
        <w:overflowPunct w:val="0"/>
        <w:spacing w:before="0" w:after="0" w:line="240" w:lineRule="auto"/>
        <w:rPr>
          <w:rFonts w:hint="eastAsia" w:ascii="宋体" w:hAnsi="宋体" w:eastAsia="宋体" w:cs="宋体"/>
          <w:color w:val="auto"/>
          <w:sz w:val="30"/>
          <w:szCs w:val="30"/>
        </w:rPr>
      </w:pPr>
      <w:bookmarkStart w:id="149" w:name="_Toc26041"/>
      <w:r>
        <w:rPr>
          <w:rFonts w:hint="eastAsia" w:ascii="宋体" w:hAnsi="宋体" w:eastAsia="宋体" w:cs="宋体"/>
          <w:color w:val="auto"/>
          <w:sz w:val="21"/>
          <w:szCs w:val="21"/>
        </w:rPr>
        <w:t>附件13.业绩表</w:t>
      </w:r>
      <w:bookmarkEnd w:id="149"/>
    </w:p>
    <w:p>
      <w:pPr>
        <w:jc w:val="center"/>
        <w:rPr>
          <w:rFonts w:hint="eastAsia" w:ascii="宋体" w:hAnsi="宋体" w:eastAsia="宋体" w:cs="宋体"/>
          <w:color w:val="auto"/>
          <w:sz w:val="28"/>
          <w:szCs w:val="28"/>
        </w:rPr>
      </w:pPr>
      <w:r>
        <w:rPr>
          <w:rFonts w:hint="eastAsia" w:ascii="宋体" w:hAnsi="宋体" w:eastAsia="宋体" w:cs="宋体"/>
          <w:color w:val="auto"/>
          <w:sz w:val="28"/>
          <w:szCs w:val="28"/>
        </w:rPr>
        <w:t>业绩表</w:t>
      </w:r>
    </w:p>
    <w:tbl>
      <w:tblPr>
        <w:tblStyle w:val="17"/>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6"/>
        <w:gridCol w:w="1705"/>
        <w:gridCol w:w="1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pPr>
              <w:adjustRightInd/>
              <w:snapToGrid/>
              <w:spacing w:after="0"/>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序号</w:t>
            </w:r>
          </w:p>
        </w:tc>
        <w:tc>
          <w:tcPr>
            <w:tcW w:w="1705" w:type="dxa"/>
            <w:vAlign w:val="center"/>
          </w:tcPr>
          <w:p>
            <w:pPr>
              <w:adjustRightInd/>
              <w:snapToGrid/>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项目名称</w:t>
            </w:r>
          </w:p>
        </w:tc>
        <w:tc>
          <w:tcPr>
            <w:tcW w:w="1706" w:type="dxa"/>
            <w:vAlign w:val="center"/>
          </w:tcPr>
          <w:p>
            <w:pPr>
              <w:adjustRightInd/>
              <w:snapToGrid/>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项目金额</w:t>
            </w:r>
          </w:p>
        </w:tc>
        <w:tc>
          <w:tcPr>
            <w:tcW w:w="1705" w:type="dxa"/>
            <w:vAlign w:val="center"/>
          </w:tcPr>
          <w:p>
            <w:pPr>
              <w:adjustRightInd/>
              <w:snapToGrid/>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项目合同签订时间</w:t>
            </w:r>
          </w:p>
        </w:tc>
        <w:tc>
          <w:tcPr>
            <w:tcW w:w="1697" w:type="dxa"/>
            <w:vAlign w:val="center"/>
          </w:tcPr>
          <w:p>
            <w:pPr>
              <w:adjustRightInd/>
              <w:snapToGrid/>
              <w:spacing w:after="0"/>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pPr>
              <w:adjustRightInd/>
              <w:snapToGrid/>
              <w:spacing w:after="0"/>
              <w:jc w:val="center"/>
              <w:rPr>
                <w:rFonts w:hint="eastAsia" w:ascii="宋体" w:hAnsi="宋体" w:eastAsia="宋体" w:cs="宋体"/>
                <w:color w:val="auto"/>
                <w:sz w:val="21"/>
                <w:szCs w:val="21"/>
              </w:rPr>
            </w:pPr>
          </w:p>
        </w:tc>
        <w:tc>
          <w:tcPr>
            <w:tcW w:w="1705" w:type="dxa"/>
            <w:vAlign w:val="center"/>
          </w:tcPr>
          <w:p>
            <w:pPr>
              <w:adjustRightInd/>
              <w:snapToGrid/>
              <w:spacing w:after="0"/>
              <w:jc w:val="center"/>
              <w:rPr>
                <w:rFonts w:hint="eastAsia" w:ascii="宋体" w:hAnsi="宋体" w:eastAsia="宋体" w:cs="宋体"/>
                <w:color w:val="auto"/>
                <w:sz w:val="21"/>
                <w:szCs w:val="21"/>
              </w:rPr>
            </w:pPr>
          </w:p>
        </w:tc>
        <w:tc>
          <w:tcPr>
            <w:tcW w:w="1706" w:type="dxa"/>
            <w:vAlign w:val="center"/>
          </w:tcPr>
          <w:p>
            <w:pPr>
              <w:adjustRightInd/>
              <w:snapToGrid/>
              <w:spacing w:after="0"/>
              <w:jc w:val="center"/>
              <w:rPr>
                <w:rFonts w:hint="eastAsia" w:ascii="宋体" w:hAnsi="宋体" w:eastAsia="宋体" w:cs="宋体"/>
                <w:color w:val="auto"/>
                <w:sz w:val="21"/>
                <w:szCs w:val="21"/>
              </w:rPr>
            </w:pPr>
          </w:p>
        </w:tc>
        <w:tc>
          <w:tcPr>
            <w:tcW w:w="1705" w:type="dxa"/>
            <w:vAlign w:val="center"/>
          </w:tcPr>
          <w:p>
            <w:pPr>
              <w:adjustRightInd/>
              <w:snapToGrid/>
              <w:spacing w:after="0"/>
              <w:jc w:val="center"/>
              <w:rPr>
                <w:rFonts w:hint="eastAsia" w:ascii="宋体" w:hAnsi="宋体" w:eastAsia="宋体" w:cs="宋体"/>
                <w:color w:val="auto"/>
                <w:sz w:val="21"/>
                <w:szCs w:val="21"/>
              </w:rPr>
            </w:pPr>
          </w:p>
        </w:tc>
        <w:tc>
          <w:tcPr>
            <w:tcW w:w="1697" w:type="dxa"/>
            <w:vAlign w:val="center"/>
          </w:tcPr>
          <w:p>
            <w:pPr>
              <w:adjustRightInd/>
              <w:snapToGrid/>
              <w:spacing w:after="0"/>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hint="eastAsia" w:ascii="宋体" w:hAnsi="宋体" w:eastAsia="宋体" w:cs="宋体"/>
                <w:color w:val="auto"/>
                <w:sz w:val="21"/>
                <w:szCs w:val="21"/>
              </w:rPr>
            </w:pPr>
          </w:p>
        </w:tc>
        <w:tc>
          <w:tcPr>
            <w:tcW w:w="1705" w:type="dxa"/>
          </w:tcPr>
          <w:p>
            <w:pPr>
              <w:adjustRightInd/>
              <w:snapToGrid/>
              <w:spacing w:after="0"/>
              <w:rPr>
                <w:rFonts w:hint="eastAsia" w:ascii="宋体" w:hAnsi="宋体" w:eastAsia="宋体" w:cs="宋体"/>
                <w:color w:val="auto"/>
                <w:sz w:val="21"/>
                <w:szCs w:val="21"/>
              </w:rPr>
            </w:pPr>
          </w:p>
        </w:tc>
        <w:tc>
          <w:tcPr>
            <w:tcW w:w="1706" w:type="dxa"/>
          </w:tcPr>
          <w:p>
            <w:pPr>
              <w:adjustRightInd/>
              <w:snapToGrid/>
              <w:spacing w:after="0"/>
              <w:rPr>
                <w:rFonts w:hint="eastAsia" w:ascii="宋体" w:hAnsi="宋体" w:eastAsia="宋体" w:cs="宋体"/>
                <w:color w:val="auto"/>
                <w:sz w:val="21"/>
                <w:szCs w:val="21"/>
              </w:rPr>
            </w:pPr>
          </w:p>
        </w:tc>
        <w:tc>
          <w:tcPr>
            <w:tcW w:w="1705" w:type="dxa"/>
          </w:tcPr>
          <w:p>
            <w:pPr>
              <w:adjustRightInd/>
              <w:snapToGrid/>
              <w:spacing w:after="0"/>
              <w:rPr>
                <w:rFonts w:hint="eastAsia" w:ascii="宋体" w:hAnsi="宋体" w:eastAsia="宋体" w:cs="宋体"/>
                <w:color w:val="auto"/>
                <w:sz w:val="21"/>
                <w:szCs w:val="21"/>
              </w:rPr>
            </w:pPr>
          </w:p>
        </w:tc>
        <w:tc>
          <w:tcPr>
            <w:tcW w:w="1697" w:type="dxa"/>
          </w:tcPr>
          <w:p>
            <w:pPr>
              <w:adjustRightInd/>
              <w:snapToGrid/>
              <w:spacing w:after="0"/>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hint="eastAsia" w:ascii="宋体" w:hAnsi="宋体" w:eastAsia="宋体" w:cs="宋体"/>
                <w:color w:val="auto"/>
                <w:sz w:val="21"/>
                <w:szCs w:val="21"/>
              </w:rPr>
            </w:pPr>
          </w:p>
        </w:tc>
        <w:tc>
          <w:tcPr>
            <w:tcW w:w="1705" w:type="dxa"/>
          </w:tcPr>
          <w:p>
            <w:pPr>
              <w:adjustRightInd/>
              <w:snapToGrid/>
              <w:spacing w:after="0"/>
              <w:rPr>
                <w:rFonts w:hint="eastAsia" w:ascii="宋体" w:hAnsi="宋体" w:eastAsia="宋体" w:cs="宋体"/>
                <w:color w:val="auto"/>
                <w:sz w:val="21"/>
                <w:szCs w:val="21"/>
              </w:rPr>
            </w:pPr>
          </w:p>
        </w:tc>
        <w:tc>
          <w:tcPr>
            <w:tcW w:w="1706" w:type="dxa"/>
          </w:tcPr>
          <w:p>
            <w:pPr>
              <w:adjustRightInd/>
              <w:snapToGrid/>
              <w:spacing w:after="0"/>
              <w:rPr>
                <w:rFonts w:hint="eastAsia" w:ascii="宋体" w:hAnsi="宋体" w:eastAsia="宋体" w:cs="宋体"/>
                <w:color w:val="auto"/>
                <w:sz w:val="21"/>
                <w:szCs w:val="21"/>
              </w:rPr>
            </w:pPr>
          </w:p>
        </w:tc>
        <w:tc>
          <w:tcPr>
            <w:tcW w:w="1705" w:type="dxa"/>
          </w:tcPr>
          <w:p>
            <w:pPr>
              <w:adjustRightInd/>
              <w:snapToGrid/>
              <w:spacing w:after="0"/>
              <w:rPr>
                <w:rFonts w:hint="eastAsia" w:ascii="宋体" w:hAnsi="宋体" w:eastAsia="宋体" w:cs="宋体"/>
                <w:color w:val="auto"/>
                <w:sz w:val="21"/>
                <w:szCs w:val="21"/>
              </w:rPr>
            </w:pPr>
          </w:p>
        </w:tc>
        <w:tc>
          <w:tcPr>
            <w:tcW w:w="1697" w:type="dxa"/>
          </w:tcPr>
          <w:p>
            <w:pPr>
              <w:adjustRightInd/>
              <w:snapToGrid/>
              <w:spacing w:after="0"/>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hint="eastAsia" w:ascii="宋体" w:hAnsi="宋体" w:eastAsia="宋体" w:cs="宋体"/>
                <w:color w:val="auto"/>
                <w:sz w:val="21"/>
                <w:szCs w:val="21"/>
              </w:rPr>
            </w:pPr>
          </w:p>
        </w:tc>
        <w:tc>
          <w:tcPr>
            <w:tcW w:w="1705" w:type="dxa"/>
          </w:tcPr>
          <w:p>
            <w:pPr>
              <w:adjustRightInd/>
              <w:snapToGrid/>
              <w:spacing w:after="0"/>
              <w:rPr>
                <w:rFonts w:hint="eastAsia" w:ascii="宋体" w:hAnsi="宋体" w:eastAsia="宋体" w:cs="宋体"/>
                <w:color w:val="auto"/>
                <w:sz w:val="21"/>
                <w:szCs w:val="21"/>
              </w:rPr>
            </w:pPr>
          </w:p>
        </w:tc>
        <w:tc>
          <w:tcPr>
            <w:tcW w:w="1706" w:type="dxa"/>
          </w:tcPr>
          <w:p>
            <w:pPr>
              <w:adjustRightInd/>
              <w:snapToGrid/>
              <w:spacing w:after="0"/>
              <w:rPr>
                <w:rFonts w:hint="eastAsia" w:ascii="宋体" w:hAnsi="宋体" w:eastAsia="宋体" w:cs="宋体"/>
                <w:color w:val="auto"/>
                <w:sz w:val="21"/>
                <w:szCs w:val="21"/>
              </w:rPr>
            </w:pPr>
          </w:p>
        </w:tc>
        <w:tc>
          <w:tcPr>
            <w:tcW w:w="1705" w:type="dxa"/>
          </w:tcPr>
          <w:p>
            <w:pPr>
              <w:adjustRightInd/>
              <w:snapToGrid/>
              <w:spacing w:after="0"/>
              <w:rPr>
                <w:rFonts w:hint="eastAsia" w:ascii="宋体" w:hAnsi="宋体" w:eastAsia="宋体" w:cs="宋体"/>
                <w:color w:val="auto"/>
                <w:sz w:val="21"/>
                <w:szCs w:val="21"/>
              </w:rPr>
            </w:pPr>
          </w:p>
        </w:tc>
        <w:tc>
          <w:tcPr>
            <w:tcW w:w="1697" w:type="dxa"/>
          </w:tcPr>
          <w:p>
            <w:pPr>
              <w:adjustRightInd/>
              <w:snapToGrid/>
              <w:spacing w:after="0"/>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hint="eastAsia" w:ascii="宋体" w:hAnsi="宋体" w:eastAsia="宋体" w:cs="宋体"/>
                <w:color w:val="auto"/>
                <w:sz w:val="21"/>
                <w:szCs w:val="21"/>
              </w:rPr>
            </w:pPr>
          </w:p>
        </w:tc>
        <w:tc>
          <w:tcPr>
            <w:tcW w:w="1705" w:type="dxa"/>
          </w:tcPr>
          <w:p>
            <w:pPr>
              <w:adjustRightInd/>
              <w:snapToGrid/>
              <w:spacing w:after="0"/>
              <w:rPr>
                <w:rFonts w:hint="eastAsia" w:ascii="宋体" w:hAnsi="宋体" w:eastAsia="宋体" w:cs="宋体"/>
                <w:color w:val="auto"/>
                <w:sz w:val="21"/>
                <w:szCs w:val="21"/>
              </w:rPr>
            </w:pPr>
          </w:p>
        </w:tc>
        <w:tc>
          <w:tcPr>
            <w:tcW w:w="1706" w:type="dxa"/>
          </w:tcPr>
          <w:p>
            <w:pPr>
              <w:adjustRightInd/>
              <w:snapToGrid/>
              <w:spacing w:after="0"/>
              <w:rPr>
                <w:rFonts w:hint="eastAsia" w:ascii="宋体" w:hAnsi="宋体" w:eastAsia="宋体" w:cs="宋体"/>
                <w:color w:val="auto"/>
                <w:sz w:val="21"/>
                <w:szCs w:val="21"/>
              </w:rPr>
            </w:pPr>
          </w:p>
        </w:tc>
        <w:tc>
          <w:tcPr>
            <w:tcW w:w="1705" w:type="dxa"/>
          </w:tcPr>
          <w:p>
            <w:pPr>
              <w:adjustRightInd/>
              <w:snapToGrid/>
              <w:spacing w:after="0"/>
              <w:rPr>
                <w:rFonts w:hint="eastAsia" w:ascii="宋体" w:hAnsi="宋体" w:eastAsia="宋体" w:cs="宋体"/>
                <w:color w:val="auto"/>
                <w:sz w:val="21"/>
                <w:szCs w:val="21"/>
              </w:rPr>
            </w:pPr>
          </w:p>
        </w:tc>
        <w:tc>
          <w:tcPr>
            <w:tcW w:w="1697" w:type="dxa"/>
          </w:tcPr>
          <w:p>
            <w:pPr>
              <w:adjustRightInd/>
              <w:snapToGrid/>
              <w:spacing w:after="0"/>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hint="eastAsia" w:ascii="宋体" w:hAnsi="宋体" w:eastAsia="宋体" w:cs="宋体"/>
                <w:color w:val="auto"/>
                <w:sz w:val="21"/>
                <w:szCs w:val="21"/>
              </w:rPr>
            </w:pPr>
          </w:p>
        </w:tc>
        <w:tc>
          <w:tcPr>
            <w:tcW w:w="1705" w:type="dxa"/>
          </w:tcPr>
          <w:p>
            <w:pPr>
              <w:adjustRightInd/>
              <w:snapToGrid/>
              <w:spacing w:after="0"/>
              <w:rPr>
                <w:rFonts w:hint="eastAsia" w:ascii="宋体" w:hAnsi="宋体" w:eastAsia="宋体" w:cs="宋体"/>
                <w:color w:val="auto"/>
                <w:sz w:val="21"/>
                <w:szCs w:val="21"/>
              </w:rPr>
            </w:pPr>
          </w:p>
        </w:tc>
        <w:tc>
          <w:tcPr>
            <w:tcW w:w="1706" w:type="dxa"/>
          </w:tcPr>
          <w:p>
            <w:pPr>
              <w:adjustRightInd/>
              <w:snapToGrid/>
              <w:spacing w:after="0"/>
              <w:rPr>
                <w:rFonts w:hint="eastAsia" w:ascii="宋体" w:hAnsi="宋体" w:eastAsia="宋体" w:cs="宋体"/>
                <w:color w:val="auto"/>
                <w:sz w:val="21"/>
                <w:szCs w:val="21"/>
              </w:rPr>
            </w:pPr>
          </w:p>
        </w:tc>
        <w:tc>
          <w:tcPr>
            <w:tcW w:w="1705" w:type="dxa"/>
          </w:tcPr>
          <w:p>
            <w:pPr>
              <w:adjustRightInd/>
              <w:snapToGrid/>
              <w:spacing w:after="0"/>
              <w:rPr>
                <w:rFonts w:hint="eastAsia" w:ascii="宋体" w:hAnsi="宋体" w:eastAsia="宋体" w:cs="宋体"/>
                <w:color w:val="auto"/>
                <w:sz w:val="21"/>
                <w:szCs w:val="21"/>
              </w:rPr>
            </w:pPr>
          </w:p>
        </w:tc>
        <w:tc>
          <w:tcPr>
            <w:tcW w:w="1697" w:type="dxa"/>
          </w:tcPr>
          <w:p>
            <w:pPr>
              <w:adjustRightInd/>
              <w:snapToGrid/>
              <w:spacing w:after="0"/>
              <w:rPr>
                <w:rFonts w:hint="eastAsia" w:ascii="宋体" w:hAnsi="宋体" w:eastAsia="宋体" w:cs="宋体"/>
                <w:color w:val="auto"/>
                <w:sz w:val="21"/>
                <w:szCs w:val="21"/>
              </w:rPr>
            </w:pPr>
          </w:p>
        </w:tc>
      </w:tr>
    </w:tbl>
    <w:p>
      <w:pPr>
        <w:pStyle w:val="23"/>
        <w:spacing w:after="0"/>
        <w:rPr>
          <w:rFonts w:hint="eastAsia" w:ascii="宋体" w:hAnsi="宋体" w:eastAsia="宋体" w:cs="宋体"/>
          <w:color w:val="auto"/>
          <w:sz w:val="21"/>
          <w:szCs w:val="21"/>
        </w:rPr>
      </w:pPr>
    </w:p>
    <w:p>
      <w:pPr>
        <w:pStyle w:val="23"/>
        <w:spacing w:after="0"/>
        <w:rPr>
          <w:rFonts w:hint="eastAsia" w:ascii="宋体" w:hAnsi="宋体" w:eastAsia="宋体" w:cs="宋体"/>
          <w:color w:val="auto"/>
          <w:sz w:val="21"/>
          <w:szCs w:val="21"/>
        </w:rPr>
      </w:pPr>
      <w:r>
        <w:rPr>
          <w:rFonts w:hint="eastAsia" w:ascii="宋体" w:hAnsi="宋体" w:eastAsia="宋体" w:cs="宋体"/>
          <w:color w:val="auto"/>
          <w:sz w:val="21"/>
          <w:szCs w:val="21"/>
        </w:rPr>
        <w:t>注：</w:t>
      </w:r>
    </w:p>
    <w:p>
      <w:pPr>
        <w:pStyle w:val="23"/>
        <w:keepNext w:val="0"/>
        <w:keepLines w:val="0"/>
        <w:pageBreakBefore w:val="0"/>
        <w:widowControl/>
        <w:numPr>
          <w:ilvl w:val="0"/>
          <w:numId w:val="11"/>
        </w:numPr>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该表格为参考格式，投标人可按实际情况自行制订。</w:t>
      </w:r>
    </w:p>
    <w:p>
      <w:pPr>
        <w:pStyle w:val="23"/>
        <w:keepNext w:val="0"/>
        <w:keepLines w:val="0"/>
        <w:pageBreakBefore w:val="0"/>
        <w:widowControl/>
        <w:numPr>
          <w:ilvl w:val="0"/>
          <w:numId w:val="11"/>
        </w:numPr>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业绩表所列出的材料应为真实准确的，并应提供相关证明材料复印件加盖公章。请勿提供虚假、过期材料，否则将依据相关规定严肃处理。</w:t>
      </w:r>
    </w:p>
    <w:p>
      <w:pPr>
        <w:pStyle w:val="23"/>
        <w:numPr>
          <w:ilvl w:val="0"/>
          <w:numId w:val="11"/>
        </w:numPr>
        <w:spacing w:after="0"/>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pPr>
        <w:pStyle w:val="5"/>
        <w:widowControl w:val="0"/>
        <w:overflowPunct w:val="0"/>
        <w:spacing w:before="0" w:after="0" w:line="240" w:lineRule="auto"/>
        <w:rPr>
          <w:rFonts w:hint="eastAsia" w:ascii="宋体" w:hAnsi="宋体" w:eastAsia="宋体" w:cs="宋体"/>
          <w:color w:val="auto"/>
          <w:sz w:val="21"/>
          <w:szCs w:val="21"/>
        </w:rPr>
      </w:pPr>
      <w:bookmarkStart w:id="150" w:name="_Toc11366"/>
      <w:r>
        <w:rPr>
          <w:rFonts w:hint="eastAsia" w:ascii="宋体" w:hAnsi="宋体" w:eastAsia="宋体" w:cs="宋体"/>
          <w:color w:val="auto"/>
          <w:sz w:val="21"/>
          <w:szCs w:val="21"/>
        </w:rPr>
        <w:t>附件14. 项目实施方案格式</w:t>
      </w:r>
      <w:bookmarkEnd w:id="150"/>
    </w:p>
    <w:p>
      <w:pPr>
        <w:jc w:val="center"/>
        <w:rPr>
          <w:rFonts w:hint="eastAsia" w:ascii="宋体" w:hAnsi="宋体" w:eastAsia="宋体" w:cs="宋体"/>
          <w:color w:val="auto"/>
          <w:sz w:val="32"/>
          <w:szCs w:val="32"/>
        </w:rPr>
      </w:pPr>
    </w:p>
    <w:p>
      <w:pPr>
        <w:jc w:val="center"/>
        <w:rPr>
          <w:rFonts w:hint="eastAsia" w:ascii="宋体" w:hAnsi="宋体" w:eastAsia="宋体" w:cs="宋体"/>
          <w:color w:val="auto"/>
          <w:sz w:val="32"/>
          <w:szCs w:val="32"/>
        </w:rPr>
      </w:pPr>
      <w:r>
        <w:rPr>
          <w:rFonts w:hint="eastAsia" w:ascii="宋体" w:hAnsi="宋体" w:eastAsia="宋体" w:cs="宋体"/>
          <w:color w:val="auto"/>
          <w:sz w:val="32"/>
          <w:szCs w:val="32"/>
        </w:rPr>
        <w:t>项目实施方案</w:t>
      </w:r>
    </w:p>
    <w:p>
      <w:pPr>
        <w:jc w:val="center"/>
        <w:rPr>
          <w:rFonts w:hint="eastAsia" w:ascii="宋体" w:hAnsi="宋体" w:eastAsia="宋体" w:cs="宋体"/>
          <w:color w:val="auto"/>
          <w:sz w:val="32"/>
          <w:szCs w:val="32"/>
        </w:rPr>
      </w:pPr>
    </w:p>
    <w:p>
      <w:pPr>
        <w:spacing w:after="0" w:line="360" w:lineRule="auto"/>
        <w:ind w:left="738" w:leftChars="200" w:hanging="298" w:hangingChars="142"/>
        <w:rPr>
          <w:rFonts w:hint="eastAsia" w:ascii="宋体" w:hAnsi="宋体" w:eastAsia="宋体" w:cs="宋体"/>
          <w:color w:val="auto"/>
          <w:sz w:val="21"/>
          <w:szCs w:val="21"/>
        </w:rPr>
      </w:pPr>
      <w:r>
        <w:rPr>
          <w:rFonts w:hint="eastAsia" w:ascii="宋体" w:hAnsi="宋体" w:eastAsia="宋体" w:cs="宋体"/>
          <w:color w:val="auto"/>
          <w:sz w:val="21"/>
          <w:szCs w:val="21"/>
        </w:rPr>
        <w:t>1、为完成本项目投标人临时投入的设备</w:t>
      </w:r>
    </w:p>
    <w:p>
      <w:pPr>
        <w:spacing w:after="0" w:line="360" w:lineRule="auto"/>
        <w:ind w:left="738" w:leftChars="200" w:hanging="298" w:hangingChars="142"/>
        <w:rPr>
          <w:rFonts w:hint="eastAsia" w:ascii="宋体" w:hAnsi="宋体" w:eastAsia="宋体" w:cs="宋体"/>
          <w:color w:val="auto"/>
          <w:sz w:val="21"/>
          <w:szCs w:val="21"/>
        </w:rPr>
      </w:pPr>
      <w:r>
        <w:rPr>
          <w:rFonts w:hint="eastAsia" w:ascii="宋体" w:hAnsi="宋体" w:eastAsia="宋体" w:cs="宋体"/>
          <w:color w:val="auto"/>
          <w:sz w:val="21"/>
          <w:szCs w:val="21"/>
        </w:rPr>
        <w:t>2、为完成本项目投标人投入的人员以及具体工作安排</w:t>
      </w:r>
    </w:p>
    <w:p>
      <w:pPr>
        <w:spacing w:after="0" w:line="360" w:lineRule="auto"/>
        <w:ind w:left="738" w:leftChars="200" w:hanging="298" w:hangingChars="142"/>
        <w:rPr>
          <w:rFonts w:hint="eastAsia" w:ascii="宋体" w:hAnsi="宋体" w:eastAsia="宋体" w:cs="宋体"/>
          <w:color w:val="auto"/>
          <w:sz w:val="21"/>
          <w:szCs w:val="21"/>
        </w:rPr>
      </w:pPr>
      <w:r>
        <w:rPr>
          <w:rFonts w:hint="eastAsia" w:ascii="宋体" w:hAnsi="宋体" w:eastAsia="宋体" w:cs="宋体"/>
          <w:color w:val="auto"/>
          <w:sz w:val="21"/>
          <w:szCs w:val="21"/>
        </w:rPr>
        <w:t>3、投标人为本项目制定的具体项目实施方案与项目实施流程</w:t>
      </w:r>
    </w:p>
    <w:p>
      <w:pPr>
        <w:spacing w:after="0" w:line="360" w:lineRule="auto"/>
        <w:ind w:left="738" w:leftChars="200" w:hanging="298" w:hangingChars="142"/>
        <w:rPr>
          <w:rFonts w:hint="eastAsia" w:ascii="宋体" w:hAnsi="宋体" w:eastAsia="宋体" w:cs="宋体"/>
          <w:color w:val="auto"/>
          <w:sz w:val="21"/>
          <w:szCs w:val="21"/>
        </w:rPr>
      </w:pPr>
      <w:r>
        <w:rPr>
          <w:rFonts w:hint="eastAsia" w:ascii="宋体" w:hAnsi="宋体" w:eastAsia="宋体" w:cs="宋体"/>
          <w:color w:val="auto"/>
          <w:sz w:val="21"/>
          <w:szCs w:val="21"/>
        </w:rPr>
        <w:t>4、售后服务方案</w:t>
      </w:r>
    </w:p>
    <w:p>
      <w:pPr>
        <w:spacing w:after="0" w:line="360" w:lineRule="auto"/>
        <w:ind w:left="738" w:leftChars="200" w:hanging="298" w:hangingChars="142"/>
        <w:rPr>
          <w:rFonts w:hint="eastAsia" w:ascii="宋体" w:hAnsi="宋体" w:eastAsia="宋体" w:cs="宋体"/>
          <w:color w:val="auto"/>
          <w:sz w:val="21"/>
          <w:szCs w:val="21"/>
        </w:rPr>
      </w:pPr>
      <w:r>
        <w:rPr>
          <w:rFonts w:hint="eastAsia" w:ascii="宋体" w:hAnsi="宋体" w:eastAsia="宋体" w:cs="宋体"/>
          <w:color w:val="auto"/>
          <w:sz w:val="21"/>
          <w:szCs w:val="21"/>
        </w:rPr>
        <w:t>5、..........</w:t>
      </w:r>
    </w:p>
    <w:p>
      <w:pPr>
        <w:spacing w:after="0" w:line="360" w:lineRule="auto"/>
        <w:ind w:left="738" w:leftChars="200" w:hanging="298" w:hangingChars="142"/>
        <w:rPr>
          <w:rFonts w:hint="eastAsia" w:ascii="宋体" w:hAnsi="宋体" w:eastAsia="宋体" w:cs="宋体"/>
          <w:color w:val="auto"/>
          <w:sz w:val="21"/>
          <w:szCs w:val="21"/>
        </w:rPr>
      </w:pPr>
      <w:r>
        <w:rPr>
          <w:rFonts w:hint="eastAsia" w:ascii="宋体" w:hAnsi="宋体" w:eastAsia="宋体" w:cs="宋体"/>
          <w:color w:val="auto"/>
          <w:sz w:val="21"/>
          <w:szCs w:val="21"/>
        </w:rPr>
        <w:t>自行编写。</w:t>
      </w:r>
    </w:p>
    <w:p>
      <w:pPr>
        <w:spacing w:after="0" w:line="360" w:lineRule="auto"/>
        <w:ind w:left="738" w:leftChars="200" w:hanging="298" w:hangingChars="142"/>
        <w:rPr>
          <w:rFonts w:hint="eastAsia" w:ascii="宋体" w:hAnsi="宋体" w:eastAsia="宋体" w:cs="宋体"/>
          <w:color w:val="auto"/>
          <w:sz w:val="21"/>
          <w:szCs w:val="21"/>
        </w:rPr>
      </w:pPr>
    </w:p>
    <w:p>
      <w:pPr>
        <w:spacing w:after="0" w:line="360" w:lineRule="auto"/>
        <w:ind w:left="738" w:leftChars="200" w:hanging="298" w:hangingChars="142"/>
        <w:rPr>
          <w:rFonts w:hint="eastAsia" w:ascii="宋体" w:hAnsi="宋体" w:eastAsia="宋体" w:cs="宋体"/>
          <w:color w:val="auto"/>
          <w:sz w:val="21"/>
          <w:szCs w:val="21"/>
        </w:rPr>
      </w:pPr>
    </w:p>
    <w:p>
      <w:pPr>
        <w:spacing w:after="0" w:line="360" w:lineRule="auto"/>
        <w:ind w:left="738" w:leftChars="200" w:hanging="298" w:hangingChars="142"/>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pPr>
        <w:pStyle w:val="5"/>
        <w:widowControl w:val="0"/>
        <w:overflowPunct w:val="0"/>
        <w:spacing w:before="0" w:after="0" w:line="240" w:lineRule="auto"/>
        <w:rPr>
          <w:rFonts w:hint="eastAsia" w:ascii="宋体" w:hAnsi="宋体" w:eastAsia="宋体" w:cs="宋体"/>
          <w:color w:val="auto"/>
          <w:sz w:val="21"/>
          <w:szCs w:val="21"/>
        </w:rPr>
      </w:pPr>
      <w:bookmarkStart w:id="151" w:name="_Toc9262"/>
      <w:r>
        <w:rPr>
          <w:rFonts w:hint="eastAsia" w:ascii="宋体" w:hAnsi="宋体" w:eastAsia="宋体" w:cs="宋体"/>
          <w:color w:val="auto"/>
          <w:sz w:val="21"/>
          <w:szCs w:val="21"/>
        </w:rPr>
        <w:t>附件15. 实施本项目的有关人员资料表格式</w:t>
      </w:r>
      <w:bookmarkEnd w:id="151"/>
    </w:p>
    <w:p>
      <w:pPr>
        <w:jc w:val="center"/>
        <w:rPr>
          <w:rFonts w:hint="eastAsia" w:ascii="宋体" w:hAnsi="宋体" w:eastAsia="宋体" w:cs="宋体"/>
          <w:color w:val="auto"/>
          <w:sz w:val="21"/>
          <w:szCs w:val="21"/>
        </w:rPr>
      </w:pPr>
    </w:p>
    <w:p>
      <w:pPr>
        <w:jc w:val="center"/>
        <w:rPr>
          <w:rFonts w:hint="eastAsia" w:ascii="宋体" w:hAnsi="宋体" w:eastAsia="宋体" w:cs="宋体"/>
          <w:color w:val="auto"/>
          <w:sz w:val="32"/>
          <w:szCs w:val="32"/>
        </w:rPr>
      </w:pPr>
      <w:r>
        <w:rPr>
          <w:rFonts w:hint="eastAsia" w:ascii="宋体" w:hAnsi="宋体" w:eastAsia="宋体" w:cs="宋体"/>
          <w:color w:val="auto"/>
          <w:sz w:val="32"/>
          <w:szCs w:val="32"/>
        </w:rPr>
        <w:t>实施本项目的有关人员资料表</w:t>
      </w:r>
    </w:p>
    <w:tbl>
      <w:tblPr>
        <w:tblStyle w:val="16"/>
        <w:tblW w:w="7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822"/>
        <w:gridCol w:w="1392"/>
        <w:gridCol w:w="763"/>
        <w:gridCol w:w="708"/>
        <w:gridCol w:w="851"/>
        <w:gridCol w:w="850"/>
        <w:gridCol w:w="788"/>
        <w:gridCol w:w="1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822"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姓名</w:t>
            </w:r>
          </w:p>
        </w:tc>
        <w:tc>
          <w:tcPr>
            <w:tcW w:w="1392"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本项目拟任岗位</w:t>
            </w:r>
          </w:p>
        </w:tc>
        <w:tc>
          <w:tcPr>
            <w:tcW w:w="763"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性别</w:t>
            </w:r>
          </w:p>
        </w:tc>
        <w:tc>
          <w:tcPr>
            <w:tcW w:w="708"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年龄</w:t>
            </w:r>
          </w:p>
        </w:tc>
        <w:tc>
          <w:tcPr>
            <w:tcW w:w="851"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技术职称</w:t>
            </w:r>
          </w:p>
        </w:tc>
        <w:tc>
          <w:tcPr>
            <w:tcW w:w="85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专 业</w:t>
            </w:r>
          </w:p>
        </w:tc>
        <w:tc>
          <w:tcPr>
            <w:tcW w:w="788"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资质证书</w:t>
            </w:r>
          </w:p>
        </w:tc>
        <w:tc>
          <w:tcPr>
            <w:tcW w:w="1090" w:type="dxa"/>
            <w:tcBorders>
              <w:right w:val="single" w:color="auto" w:sz="6" w:space="0"/>
            </w:tcBorders>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hint="eastAsia" w:ascii="宋体" w:hAnsi="宋体" w:eastAsia="宋体" w:cs="宋体"/>
                <w:color w:val="auto"/>
                <w:sz w:val="21"/>
                <w:szCs w:val="21"/>
              </w:rPr>
            </w:pPr>
          </w:p>
        </w:tc>
        <w:tc>
          <w:tcPr>
            <w:tcW w:w="822" w:type="dxa"/>
            <w:vAlign w:val="center"/>
          </w:tcPr>
          <w:p>
            <w:pPr>
              <w:spacing w:line="288" w:lineRule="auto"/>
              <w:jc w:val="center"/>
              <w:rPr>
                <w:rFonts w:hint="eastAsia" w:ascii="宋体" w:hAnsi="宋体" w:eastAsia="宋体" w:cs="宋体"/>
                <w:color w:val="auto"/>
                <w:sz w:val="21"/>
                <w:szCs w:val="21"/>
              </w:rPr>
            </w:pPr>
          </w:p>
        </w:tc>
        <w:tc>
          <w:tcPr>
            <w:tcW w:w="1392" w:type="dxa"/>
            <w:vAlign w:val="center"/>
          </w:tcPr>
          <w:p>
            <w:pPr>
              <w:spacing w:line="288" w:lineRule="auto"/>
              <w:jc w:val="center"/>
              <w:rPr>
                <w:rFonts w:hint="eastAsia" w:ascii="宋体" w:hAnsi="宋体" w:eastAsia="宋体" w:cs="宋体"/>
                <w:color w:val="auto"/>
                <w:sz w:val="21"/>
                <w:szCs w:val="21"/>
              </w:rPr>
            </w:pPr>
          </w:p>
        </w:tc>
        <w:tc>
          <w:tcPr>
            <w:tcW w:w="763" w:type="dxa"/>
            <w:vAlign w:val="center"/>
          </w:tcPr>
          <w:p>
            <w:pPr>
              <w:spacing w:line="288" w:lineRule="auto"/>
              <w:jc w:val="center"/>
              <w:rPr>
                <w:rFonts w:hint="eastAsia" w:ascii="宋体" w:hAnsi="宋体" w:eastAsia="宋体" w:cs="宋体"/>
                <w:color w:val="auto"/>
                <w:sz w:val="21"/>
                <w:szCs w:val="21"/>
              </w:rPr>
            </w:pPr>
          </w:p>
        </w:tc>
        <w:tc>
          <w:tcPr>
            <w:tcW w:w="708" w:type="dxa"/>
            <w:vAlign w:val="center"/>
          </w:tcPr>
          <w:p>
            <w:pPr>
              <w:spacing w:line="288" w:lineRule="auto"/>
              <w:jc w:val="center"/>
              <w:rPr>
                <w:rFonts w:hint="eastAsia" w:ascii="宋体" w:hAnsi="宋体" w:eastAsia="宋体" w:cs="宋体"/>
                <w:color w:val="auto"/>
                <w:sz w:val="21"/>
                <w:szCs w:val="21"/>
              </w:rPr>
            </w:pPr>
          </w:p>
        </w:tc>
        <w:tc>
          <w:tcPr>
            <w:tcW w:w="851" w:type="dxa"/>
            <w:vAlign w:val="center"/>
          </w:tcPr>
          <w:p>
            <w:pPr>
              <w:spacing w:line="288" w:lineRule="auto"/>
              <w:jc w:val="center"/>
              <w:rPr>
                <w:rFonts w:hint="eastAsia" w:ascii="宋体" w:hAnsi="宋体" w:eastAsia="宋体" w:cs="宋体"/>
                <w:color w:val="auto"/>
                <w:sz w:val="21"/>
                <w:szCs w:val="21"/>
              </w:rPr>
            </w:pPr>
          </w:p>
        </w:tc>
        <w:tc>
          <w:tcPr>
            <w:tcW w:w="850" w:type="dxa"/>
            <w:vAlign w:val="center"/>
          </w:tcPr>
          <w:p>
            <w:pPr>
              <w:spacing w:line="288" w:lineRule="auto"/>
              <w:jc w:val="center"/>
              <w:rPr>
                <w:rFonts w:hint="eastAsia" w:ascii="宋体" w:hAnsi="宋体" w:eastAsia="宋体" w:cs="宋体"/>
                <w:color w:val="auto"/>
                <w:sz w:val="21"/>
                <w:szCs w:val="21"/>
              </w:rPr>
            </w:pPr>
          </w:p>
        </w:tc>
        <w:tc>
          <w:tcPr>
            <w:tcW w:w="788" w:type="dxa"/>
            <w:vAlign w:val="center"/>
          </w:tcPr>
          <w:p>
            <w:pPr>
              <w:spacing w:line="288" w:lineRule="auto"/>
              <w:jc w:val="center"/>
              <w:rPr>
                <w:rFonts w:hint="eastAsia" w:ascii="宋体" w:hAnsi="宋体" w:eastAsia="宋体" w:cs="宋体"/>
                <w:color w:val="auto"/>
                <w:sz w:val="21"/>
                <w:szCs w:val="21"/>
              </w:rPr>
            </w:pPr>
          </w:p>
        </w:tc>
        <w:tc>
          <w:tcPr>
            <w:tcW w:w="1090" w:type="dxa"/>
            <w:tcBorders>
              <w:right w:val="single" w:color="auto" w:sz="6" w:space="0"/>
            </w:tcBorders>
            <w:vAlign w:val="center"/>
          </w:tcPr>
          <w:p>
            <w:pPr>
              <w:spacing w:line="288" w:lineRule="auto"/>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hint="eastAsia" w:ascii="宋体" w:hAnsi="宋体" w:eastAsia="宋体" w:cs="宋体"/>
                <w:color w:val="auto"/>
                <w:sz w:val="21"/>
                <w:szCs w:val="21"/>
              </w:rPr>
            </w:pPr>
          </w:p>
        </w:tc>
        <w:tc>
          <w:tcPr>
            <w:tcW w:w="822" w:type="dxa"/>
            <w:vAlign w:val="center"/>
          </w:tcPr>
          <w:p>
            <w:pPr>
              <w:spacing w:line="288" w:lineRule="auto"/>
              <w:jc w:val="center"/>
              <w:rPr>
                <w:rFonts w:hint="eastAsia" w:ascii="宋体" w:hAnsi="宋体" w:eastAsia="宋体" w:cs="宋体"/>
                <w:color w:val="auto"/>
                <w:sz w:val="21"/>
                <w:szCs w:val="21"/>
              </w:rPr>
            </w:pPr>
          </w:p>
        </w:tc>
        <w:tc>
          <w:tcPr>
            <w:tcW w:w="1392" w:type="dxa"/>
            <w:vAlign w:val="center"/>
          </w:tcPr>
          <w:p>
            <w:pPr>
              <w:spacing w:line="288" w:lineRule="auto"/>
              <w:jc w:val="center"/>
              <w:rPr>
                <w:rFonts w:hint="eastAsia" w:ascii="宋体" w:hAnsi="宋体" w:eastAsia="宋体" w:cs="宋体"/>
                <w:color w:val="auto"/>
                <w:sz w:val="21"/>
                <w:szCs w:val="21"/>
              </w:rPr>
            </w:pPr>
          </w:p>
        </w:tc>
        <w:tc>
          <w:tcPr>
            <w:tcW w:w="763" w:type="dxa"/>
            <w:vAlign w:val="center"/>
          </w:tcPr>
          <w:p>
            <w:pPr>
              <w:spacing w:line="288" w:lineRule="auto"/>
              <w:jc w:val="center"/>
              <w:rPr>
                <w:rFonts w:hint="eastAsia" w:ascii="宋体" w:hAnsi="宋体" w:eastAsia="宋体" w:cs="宋体"/>
                <w:color w:val="auto"/>
                <w:sz w:val="21"/>
                <w:szCs w:val="21"/>
              </w:rPr>
            </w:pPr>
          </w:p>
        </w:tc>
        <w:tc>
          <w:tcPr>
            <w:tcW w:w="708" w:type="dxa"/>
            <w:vAlign w:val="center"/>
          </w:tcPr>
          <w:p>
            <w:pPr>
              <w:spacing w:line="288" w:lineRule="auto"/>
              <w:jc w:val="center"/>
              <w:rPr>
                <w:rFonts w:hint="eastAsia" w:ascii="宋体" w:hAnsi="宋体" w:eastAsia="宋体" w:cs="宋体"/>
                <w:color w:val="auto"/>
                <w:sz w:val="21"/>
                <w:szCs w:val="21"/>
              </w:rPr>
            </w:pPr>
          </w:p>
        </w:tc>
        <w:tc>
          <w:tcPr>
            <w:tcW w:w="851" w:type="dxa"/>
            <w:vAlign w:val="center"/>
          </w:tcPr>
          <w:p>
            <w:pPr>
              <w:spacing w:line="288" w:lineRule="auto"/>
              <w:jc w:val="center"/>
              <w:rPr>
                <w:rFonts w:hint="eastAsia" w:ascii="宋体" w:hAnsi="宋体" w:eastAsia="宋体" w:cs="宋体"/>
                <w:color w:val="auto"/>
                <w:sz w:val="21"/>
                <w:szCs w:val="21"/>
              </w:rPr>
            </w:pPr>
          </w:p>
        </w:tc>
        <w:tc>
          <w:tcPr>
            <w:tcW w:w="850" w:type="dxa"/>
            <w:vAlign w:val="center"/>
          </w:tcPr>
          <w:p>
            <w:pPr>
              <w:spacing w:line="288" w:lineRule="auto"/>
              <w:jc w:val="center"/>
              <w:rPr>
                <w:rFonts w:hint="eastAsia" w:ascii="宋体" w:hAnsi="宋体" w:eastAsia="宋体" w:cs="宋体"/>
                <w:color w:val="auto"/>
                <w:sz w:val="21"/>
                <w:szCs w:val="21"/>
              </w:rPr>
            </w:pPr>
          </w:p>
        </w:tc>
        <w:tc>
          <w:tcPr>
            <w:tcW w:w="788" w:type="dxa"/>
            <w:vAlign w:val="center"/>
          </w:tcPr>
          <w:p>
            <w:pPr>
              <w:spacing w:line="288" w:lineRule="auto"/>
              <w:jc w:val="center"/>
              <w:rPr>
                <w:rFonts w:hint="eastAsia" w:ascii="宋体" w:hAnsi="宋体" w:eastAsia="宋体" w:cs="宋体"/>
                <w:color w:val="auto"/>
                <w:sz w:val="21"/>
                <w:szCs w:val="21"/>
              </w:rPr>
            </w:pPr>
          </w:p>
        </w:tc>
        <w:tc>
          <w:tcPr>
            <w:tcW w:w="1090" w:type="dxa"/>
            <w:tcBorders>
              <w:right w:val="single" w:color="auto" w:sz="6" w:space="0"/>
            </w:tcBorders>
            <w:vAlign w:val="center"/>
          </w:tcPr>
          <w:p>
            <w:pPr>
              <w:spacing w:line="288" w:lineRule="auto"/>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hint="eastAsia" w:ascii="宋体" w:hAnsi="宋体" w:eastAsia="宋体" w:cs="宋体"/>
                <w:color w:val="auto"/>
                <w:sz w:val="21"/>
                <w:szCs w:val="21"/>
              </w:rPr>
            </w:pPr>
          </w:p>
        </w:tc>
        <w:tc>
          <w:tcPr>
            <w:tcW w:w="822" w:type="dxa"/>
            <w:vAlign w:val="center"/>
          </w:tcPr>
          <w:p>
            <w:pPr>
              <w:spacing w:line="288" w:lineRule="auto"/>
              <w:jc w:val="center"/>
              <w:rPr>
                <w:rFonts w:hint="eastAsia" w:ascii="宋体" w:hAnsi="宋体" w:eastAsia="宋体" w:cs="宋体"/>
                <w:color w:val="auto"/>
                <w:sz w:val="21"/>
                <w:szCs w:val="21"/>
              </w:rPr>
            </w:pPr>
          </w:p>
        </w:tc>
        <w:tc>
          <w:tcPr>
            <w:tcW w:w="1392" w:type="dxa"/>
            <w:vAlign w:val="center"/>
          </w:tcPr>
          <w:p>
            <w:pPr>
              <w:spacing w:line="288" w:lineRule="auto"/>
              <w:jc w:val="center"/>
              <w:rPr>
                <w:rFonts w:hint="eastAsia" w:ascii="宋体" w:hAnsi="宋体" w:eastAsia="宋体" w:cs="宋体"/>
                <w:color w:val="auto"/>
                <w:sz w:val="21"/>
                <w:szCs w:val="21"/>
              </w:rPr>
            </w:pPr>
          </w:p>
        </w:tc>
        <w:tc>
          <w:tcPr>
            <w:tcW w:w="763" w:type="dxa"/>
            <w:vAlign w:val="center"/>
          </w:tcPr>
          <w:p>
            <w:pPr>
              <w:spacing w:line="288" w:lineRule="auto"/>
              <w:jc w:val="center"/>
              <w:rPr>
                <w:rFonts w:hint="eastAsia" w:ascii="宋体" w:hAnsi="宋体" w:eastAsia="宋体" w:cs="宋体"/>
                <w:color w:val="auto"/>
                <w:sz w:val="21"/>
                <w:szCs w:val="21"/>
              </w:rPr>
            </w:pPr>
          </w:p>
        </w:tc>
        <w:tc>
          <w:tcPr>
            <w:tcW w:w="708" w:type="dxa"/>
            <w:vAlign w:val="center"/>
          </w:tcPr>
          <w:p>
            <w:pPr>
              <w:spacing w:line="288" w:lineRule="auto"/>
              <w:jc w:val="center"/>
              <w:rPr>
                <w:rFonts w:hint="eastAsia" w:ascii="宋体" w:hAnsi="宋体" w:eastAsia="宋体" w:cs="宋体"/>
                <w:color w:val="auto"/>
                <w:sz w:val="21"/>
                <w:szCs w:val="21"/>
              </w:rPr>
            </w:pPr>
          </w:p>
        </w:tc>
        <w:tc>
          <w:tcPr>
            <w:tcW w:w="851" w:type="dxa"/>
            <w:vAlign w:val="center"/>
          </w:tcPr>
          <w:p>
            <w:pPr>
              <w:spacing w:line="288" w:lineRule="auto"/>
              <w:jc w:val="center"/>
              <w:rPr>
                <w:rFonts w:hint="eastAsia" w:ascii="宋体" w:hAnsi="宋体" w:eastAsia="宋体" w:cs="宋体"/>
                <w:color w:val="auto"/>
                <w:sz w:val="21"/>
                <w:szCs w:val="21"/>
              </w:rPr>
            </w:pPr>
          </w:p>
        </w:tc>
        <w:tc>
          <w:tcPr>
            <w:tcW w:w="850" w:type="dxa"/>
            <w:vAlign w:val="center"/>
          </w:tcPr>
          <w:p>
            <w:pPr>
              <w:spacing w:line="288" w:lineRule="auto"/>
              <w:jc w:val="center"/>
              <w:rPr>
                <w:rFonts w:hint="eastAsia" w:ascii="宋体" w:hAnsi="宋体" w:eastAsia="宋体" w:cs="宋体"/>
                <w:color w:val="auto"/>
                <w:sz w:val="21"/>
                <w:szCs w:val="21"/>
              </w:rPr>
            </w:pPr>
          </w:p>
        </w:tc>
        <w:tc>
          <w:tcPr>
            <w:tcW w:w="788" w:type="dxa"/>
            <w:vAlign w:val="center"/>
          </w:tcPr>
          <w:p>
            <w:pPr>
              <w:spacing w:line="288" w:lineRule="auto"/>
              <w:jc w:val="center"/>
              <w:rPr>
                <w:rFonts w:hint="eastAsia" w:ascii="宋体" w:hAnsi="宋体" w:eastAsia="宋体" w:cs="宋体"/>
                <w:color w:val="auto"/>
                <w:sz w:val="21"/>
                <w:szCs w:val="21"/>
              </w:rPr>
            </w:pPr>
          </w:p>
        </w:tc>
        <w:tc>
          <w:tcPr>
            <w:tcW w:w="1090" w:type="dxa"/>
            <w:tcBorders>
              <w:right w:val="single" w:color="auto" w:sz="6" w:space="0"/>
            </w:tcBorders>
            <w:vAlign w:val="center"/>
          </w:tcPr>
          <w:p>
            <w:pPr>
              <w:spacing w:line="288" w:lineRule="auto"/>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hint="eastAsia" w:ascii="宋体" w:hAnsi="宋体" w:eastAsia="宋体" w:cs="宋体"/>
                <w:color w:val="auto"/>
                <w:sz w:val="21"/>
                <w:szCs w:val="21"/>
              </w:rPr>
            </w:pPr>
          </w:p>
        </w:tc>
        <w:tc>
          <w:tcPr>
            <w:tcW w:w="822" w:type="dxa"/>
            <w:vAlign w:val="center"/>
          </w:tcPr>
          <w:p>
            <w:pPr>
              <w:spacing w:line="288" w:lineRule="auto"/>
              <w:jc w:val="center"/>
              <w:rPr>
                <w:rFonts w:hint="eastAsia" w:ascii="宋体" w:hAnsi="宋体" w:eastAsia="宋体" w:cs="宋体"/>
                <w:color w:val="auto"/>
                <w:sz w:val="21"/>
                <w:szCs w:val="21"/>
              </w:rPr>
            </w:pPr>
          </w:p>
        </w:tc>
        <w:tc>
          <w:tcPr>
            <w:tcW w:w="1392" w:type="dxa"/>
            <w:vAlign w:val="center"/>
          </w:tcPr>
          <w:p>
            <w:pPr>
              <w:spacing w:line="288" w:lineRule="auto"/>
              <w:jc w:val="center"/>
              <w:rPr>
                <w:rFonts w:hint="eastAsia" w:ascii="宋体" w:hAnsi="宋体" w:eastAsia="宋体" w:cs="宋体"/>
                <w:color w:val="auto"/>
                <w:sz w:val="21"/>
                <w:szCs w:val="21"/>
              </w:rPr>
            </w:pPr>
          </w:p>
        </w:tc>
        <w:tc>
          <w:tcPr>
            <w:tcW w:w="763" w:type="dxa"/>
            <w:vAlign w:val="center"/>
          </w:tcPr>
          <w:p>
            <w:pPr>
              <w:spacing w:line="288" w:lineRule="auto"/>
              <w:jc w:val="center"/>
              <w:rPr>
                <w:rFonts w:hint="eastAsia" w:ascii="宋体" w:hAnsi="宋体" w:eastAsia="宋体" w:cs="宋体"/>
                <w:color w:val="auto"/>
                <w:sz w:val="21"/>
                <w:szCs w:val="21"/>
              </w:rPr>
            </w:pPr>
          </w:p>
        </w:tc>
        <w:tc>
          <w:tcPr>
            <w:tcW w:w="708" w:type="dxa"/>
            <w:vAlign w:val="center"/>
          </w:tcPr>
          <w:p>
            <w:pPr>
              <w:spacing w:line="288" w:lineRule="auto"/>
              <w:jc w:val="center"/>
              <w:rPr>
                <w:rFonts w:hint="eastAsia" w:ascii="宋体" w:hAnsi="宋体" w:eastAsia="宋体" w:cs="宋体"/>
                <w:color w:val="auto"/>
                <w:sz w:val="21"/>
                <w:szCs w:val="21"/>
              </w:rPr>
            </w:pPr>
          </w:p>
        </w:tc>
        <w:tc>
          <w:tcPr>
            <w:tcW w:w="851" w:type="dxa"/>
            <w:vAlign w:val="center"/>
          </w:tcPr>
          <w:p>
            <w:pPr>
              <w:spacing w:line="288" w:lineRule="auto"/>
              <w:jc w:val="center"/>
              <w:rPr>
                <w:rFonts w:hint="eastAsia" w:ascii="宋体" w:hAnsi="宋体" w:eastAsia="宋体" w:cs="宋体"/>
                <w:color w:val="auto"/>
                <w:sz w:val="21"/>
                <w:szCs w:val="21"/>
              </w:rPr>
            </w:pPr>
          </w:p>
        </w:tc>
        <w:tc>
          <w:tcPr>
            <w:tcW w:w="850" w:type="dxa"/>
            <w:vAlign w:val="center"/>
          </w:tcPr>
          <w:p>
            <w:pPr>
              <w:spacing w:line="288" w:lineRule="auto"/>
              <w:jc w:val="center"/>
              <w:rPr>
                <w:rFonts w:hint="eastAsia" w:ascii="宋体" w:hAnsi="宋体" w:eastAsia="宋体" w:cs="宋体"/>
                <w:color w:val="auto"/>
                <w:sz w:val="21"/>
                <w:szCs w:val="21"/>
              </w:rPr>
            </w:pPr>
          </w:p>
        </w:tc>
        <w:tc>
          <w:tcPr>
            <w:tcW w:w="788" w:type="dxa"/>
            <w:vAlign w:val="center"/>
          </w:tcPr>
          <w:p>
            <w:pPr>
              <w:spacing w:line="288" w:lineRule="auto"/>
              <w:jc w:val="center"/>
              <w:rPr>
                <w:rFonts w:hint="eastAsia" w:ascii="宋体" w:hAnsi="宋体" w:eastAsia="宋体" w:cs="宋体"/>
                <w:color w:val="auto"/>
                <w:sz w:val="21"/>
                <w:szCs w:val="21"/>
              </w:rPr>
            </w:pPr>
          </w:p>
        </w:tc>
        <w:tc>
          <w:tcPr>
            <w:tcW w:w="1090" w:type="dxa"/>
            <w:tcBorders>
              <w:right w:val="single" w:color="auto" w:sz="6" w:space="0"/>
            </w:tcBorders>
            <w:vAlign w:val="center"/>
          </w:tcPr>
          <w:p>
            <w:pPr>
              <w:spacing w:line="288" w:lineRule="auto"/>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hint="eastAsia" w:ascii="宋体" w:hAnsi="宋体" w:eastAsia="宋体" w:cs="宋体"/>
                <w:color w:val="auto"/>
                <w:sz w:val="21"/>
                <w:szCs w:val="21"/>
              </w:rPr>
            </w:pPr>
          </w:p>
        </w:tc>
        <w:tc>
          <w:tcPr>
            <w:tcW w:w="822" w:type="dxa"/>
            <w:vAlign w:val="center"/>
          </w:tcPr>
          <w:p>
            <w:pPr>
              <w:spacing w:line="288" w:lineRule="auto"/>
              <w:jc w:val="center"/>
              <w:rPr>
                <w:rFonts w:hint="eastAsia" w:ascii="宋体" w:hAnsi="宋体" w:eastAsia="宋体" w:cs="宋体"/>
                <w:color w:val="auto"/>
                <w:sz w:val="21"/>
                <w:szCs w:val="21"/>
              </w:rPr>
            </w:pPr>
          </w:p>
        </w:tc>
        <w:tc>
          <w:tcPr>
            <w:tcW w:w="1392" w:type="dxa"/>
            <w:vAlign w:val="center"/>
          </w:tcPr>
          <w:p>
            <w:pPr>
              <w:spacing w:line="288" w:lineRule="auto"/>
              <w:jc w:val="center"/>
              <w:rPr>
                <w:rFonts w:hint="eastAsia" w:ascii="宋体" w:hAnsi="宋体" w:eastAsia="宋体" w:cs="宋体"/>
                <w:color w:val="auto"/>
                <w:sz w:val="21"/>
                <w:szCs w:val="21"/>
              </w:rPr>
            </w:pPr>
          </w:p>
        </w:tc>
        <w:tc>
          <w:tcPr>
            <w:tcW w:w="763" w:type="dxa"/>
            <w:vAlign w:val="center"/>
          </w:tcPr>
          <w:p>
            <w:pPr>
              <w:spacing w:line="288" w:lineRule="auto"/>
              <w:jc w:val="center"/>
              <w:rPr>
                <w:rFonts w:hint="eastAsia" w:ascii="宋体" w:hAnsi="宋体" w:eastAsia="宋体" w:cs="宋体"/>
                <w:color w:val="auto"/>
                <w:sz w:val="21"/>
                <w:szCs w:val="21"/>
              </w:rPr>
            </w:pPr>
          </w:p>
        </w:tc>
        <w:tc>
          <w:tcPr>
            <w:tcW w:w="708" w:type="dxa"/>
            <w:vAlign w:val="center"/>
          </w:tcPr>
          <w:p>
            <w:pPr>
              <w:spacing w:line="288" w:lineRule="auto"/>
              <w:jc w:val="center"/>
              <w:rPr>
                <w:rFonts w:hint="eastAsia" w:ascii="宋体" w:hAnsi="宋体" w:eastAsia="宋体" w:cs="宋体"/>
                <w:color w:val="auto"/>
                <w:sz w:val="21"/>
                <w:szCs w:val="21"/>
              </w:rPr>
            </w:pPr>
          </w:p>
        </w:tc>
        <w:tc>
          <w:tcPr>
            <w:tcW w:w="851" w:type="dxa"/>
            <w:vAlign w:val="center"/>
          </w:tcPr>
          <w:p>
            <w:pPr>
              <w:spacing w:line="288" w:lineRule="auto"/>
              <w:jc w:val="center"/>
              <w:rPr>
                <w:rFonts w:hint="eastAsia" w:ascii="宋体" w:hAnsi="宋体" w:eastAsia="宋体" w:cs="宋体"/>
                <w:color w:val="auto"/>
                <w:sz w:val="21"/>
                <w:szCs w:val="21"/>
              </w:rPr>
            </w:pPr>
          </w:p>
        </w:tc>
        <w:tc>
          <w:tcPr>
            <w:tcW w:w="850" w:type="dxa"/>
            <w:vAlign w:val="center"/>
          </w:tcPr>
          <w:p>
            <w:pPr>
              <w:spacing w:line="288" w:lineRule="auto"/>
              <w:jc w:val="center"/>
              <w:rPr>
                <w:rFonts w:hint="eastAsia" w:ascii="宋体" w:hAnsi="宋体" w:eastAsia="宋体" w:cs="宋体"/>
                <w:color w:val="auto"/>
                <w:sz w:val="21"/>
                <w:szCs w:val="21"/>
              </w:rPr>
            </w:pPr>
          </w:p>
        </w:tc>
        <w:tc>
          <w:tcPr>
            <w:tcW w:w="788" w:type="dxa"/>
            <w:vAlign w:val="center"/>
          </w:tcPr>
          <w:p>
            <w:pPr>
              <w:spacing w:line="288" w:lineRule="auto"/>
              <w:jc w:val="center"/>
              <w:rPr>
                <w:rFonts w:hint="eastAsia" w:ascii="宋体" w:hAnsi="宋体" w:eastAsia="宋体" w:cs="宋体"/>
                <w:color w:val="auto"/>
                <w:sz w:val="21"/>
                <w:szCs w:val="21"/>
              </w:rPr>
            </w:pPr>
          </w:p>
        </w:tc>
        <w:tc>
          <w:tcPr>
            <w:tcW w:w="1090" w:type="dxa"/>
            <w:tcBorders>
              <w:right w:val="single" w:color="auto" w:sz="6" w:space="0"/>
            </w:tcBorders>
            <w:vAlign w:val="center"/>
          </w:tcPr>
          <w:p>
            <w:pPr>
              <w:spacing w:line="288" w:lineRule="auto"/>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hint="eastAsia" w:ascii="宋体" w:hAnsi="宋体" w:eastAsia="宋体" w:cs="宋体"/>
                <w:color w:val="auto"/>
                <w:sz w:val="21"/>
                <w:szCs w:val="21"/>
              </w:rPr>
            </w:pPr>
          </w:p>
        </w:tc>
        <w:tc>
          <w:tcPr>
            <w:tcW w:w="822" w:type="dxa"/>
            <w:vAlign w:val="center"/>
          </w:tcPr>
          <w:p>
            <w:pPr>
              <w:spacing w:line="288" w:lineRule="auto"/>
              <w:jc w:val="center"/>
              <w:rPr>
                <w:rFonts w:hint="eastAsia" w:ascii="宋体" w:hAnsi="宋体" w:eastAsia="宋体" w:cs="宋体"/>
                <w:color w:val="auto"/>
                <w:sz w:val="21"/>
                <w:szCs w:val="21"/>
              </w:rPr>
            </w:pPr>
          </w:p>
        </w:tc>
        <w:tc>
          <w:tcPr>
            <w:tcW w:w="1392" w:type="dxa"/>
            <w:vAlign w:val="center"/>
          </w:tcPr>
          <w:p>
            <w:pPr>
              <w:spacing w:line="288" w:lineRule="auto"/>
              <w:jc w:val="center"/>
              <w:rPr>
                <w:rFonts w:hint="eastAsia" w:ascii="宋体" w:hAnsi="宋体" w:eastAsia="宋体" w:cs="宋体"/>
                <w:color w:val="auto"/>
                <w:sz w:val="21"/>
                <w:szCs w:val="21"/>
              </w:rPr>
            </w:pPr>
          </w:p>
        </w:tc>
        <w:tc>
          <w:tcPr>
            <w:tcW w:w="763" w:type="dxa"/>
            <w:vAlign w:val="center"/>
          </w:tcPr>
          <w:p>
            <w:pPr>
              <w:spacing w:line="288" w:lineRule="auto"/>
              <w:jc w:val="center"/>
              <w:rPr>
                <w:rFonts w:hint="eastAsia" w:ascii="宋体" w:hAnsi="宋体" w:eastAsia="宋体" w:cs="宋体"/>
                <w:color w:val="auto"/>
                <w:sz w:val="21"/>
                <w:szCs w:val="21"/>
              </w:rPr>
            </w:pPr>
          </w:p>
        </w:tc>
        <w:tc>
          <w:tcPr>
            <w:tcW w:w="708" w:type="dxa"/>
            <w:vAlign w:val="center"/>
          </w:tcPr>
          <w:p>
            <w:pPr>
              <w:spacing w:line="288" w:lineRule="auto"/>
              <w:jc w:val="center"/>
              <w:rPr>
                <w:rFonts w:hint="eastAsia" w:ascii="宋体" w:hAnsi="宋体" w:eastAsia="宋体" w:cs="宋体"/>
                <w:color w:val="auto"/>
                <w:sz w:val="21"/>
                <w:szCs w:val="21"/>
              </w:rPr>
            </w:pPr>
          </w:p>
        </w:tc>
        <w:tc>
          <w:tcPr>
            <w:tcW w:w="851" w:type="dxa"/>
            <w:vAlign w:val="center"/>
          </w:tcPr>
          <w:p>
            <w:pPr>
              <w:spacing w:line="288" w:lineRule="auto"/>
              <w:jc w:val="center"/>
              <w:rPr>
                <w:rFonts w:hint="eastAsia" w:ascii="宋体" w:hAnsi="宋体" w:eastAsia="宋体" w:cs="宋体"/>
                <w:color w:val="auto"/>
                <w:sz w:val="21"/>
                <w:szCs w:val="21"/>
              </w:rPr>
            </w:pPr>
          </w:p>
        </w:tc>
        <w:tc>
          <w:tcPr>
            <w:tcW w:w="850" w:type="dxa"/>
            <w:vAlign w:val="center"/>
          </w:tcPr>
          <w:p>
            <w:pPr>
              <w:spacing w:line="288" w:lineRule="auto"/>
              <w:jc w:val="center"/>
              <w:rPr>
                <w:rFonts w:hint="eastAsia" w:ascii="宋体" w:hAnsi="宋体" w:eastAsia="宋体" w:cs="宋体"/>
                <w:color w:val="auto"/>
                <w:sz w:val="21"/>
                <w:szCs w:val="21"/>
              </w:rPr>
            </w:pPr>
          </w:p>
        </w:tc>
        <w:tc>
          <w:tcPr>
            <w:tcW w:w="788" w:type="dxa"/>
            <w:vAlign w:val="center"/>
          </w:tcPr>
          <w:p>
            <w:pPr>
              <w:spacing w:line="288" w:lineRule="auto"/>
              <w:jc w:val="center"/>
              <w:rPr>
                <w:rFonts w:hint="eastAsia" w:ascii="宋体" w:hAnsi="宋体" w:eastAsia="宋体" w:cs="宋体"/>
                <w:color w:val="auto"/>
                <w:sz w:val="21"/>
                <w:szCs w:val="21"/>
              </w:rPr>
            </w:pPr>
          </w:p>
        </w:tc>
        <w:tc>
          <w:tcPr>
            <w:tcW w:w="1090" w:type="dxa"/>
            <w:tcBorders>
              <w:right w:val="single" w:color="auto" w:sz="6" w:space="0"/>
            </w:tcBorders>
            <w:vAlign w:val="center"/>
          </w:tcPr>
          <w:p>
            <w:pPr>
              <w:spacing w:line="288" w:lineRule="auto"/>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hint="eastAsia" w:ascii="宋体" w:hAnsi="宋体" w:eastAsia="宋体" w:cs="宋体"/>
                <w:color w:val="auto"/>
                <w:sz w:val="21"/>
                <w:szCs w:val="21"/>
              </w:rPr>
            </w:pPr>
          </w:p>
        </w:tc>
        <w:tc>
          <w:tcPr>
            <w:tcW w:w="822" w:type="dxa"/>
            <w:vAlign w:val="center"/>
          </w:tcPr>
          <w:p>
            <w:pPr>
              <w:spacing w:line="288" w:lineRule="auto"/>
              <w:jc w:val="center"/>
              <w:rPr>
                <w:rFonts w:hint="eastAsia" w:ascii="宋体" w:hAnsi="宋体" w:eastAsia="宋体" w:cs="宋体"/>
                <w:color w:val="auto"/>
                <w:sz w:val="21"/>
                <w:szCs w:val="21"/>
              </w:rPr>
            </w:pPr>
          </w:p>
        </w:tc>
        <w:tc>
          <w:tcPr>
            <w:tcW w:w="1392" w:type="dxa"/>
            <w:vAlign w:val="center"/>
          </w:tcPr>
          <w:p>
            <w:pPr>
              <w:spacing w:line="288" w:lineRule="auto"/>
              <w:jc w:val="center"/>
              <w:rPr>
                <w:rFonts w:hint="eastAsia" w:ascii="宋体" w:hAnsi="宋体" w:eastAsia="宋体" w:cs="宋体"/>
                <w:color w:val="auto"/>
                <w:sz w:val="21"/>
                <w:szCs w:val="21"/>
              </w:rPr>
            </w:pPr>
          </w:p>
        </w:tc>
        <w:tc>
          <w:tcPr>
            <w:tcW w:w="763" w:type="dxa"/>
            <w:vAlign w:val="center"/>
          </w:tcPr>
          <w:p>
            <w:pPr>
              <w:spacing w:line="288" w:lineRule="auto"/>
              <w:jc w:val="center"/>
              <w:rPr>
                <w:rFonts w:hint="eastAsia" w:ascii="宋体" w:hAnsi="宋体" w:eastAsia="宋体" w:cs="宋体"/>
                <w:color w:val="auto"/>
                <w:sz w:val="21"/>
                <w:szCs w:val="21"/>
              </w:rPr>
            </w:pPr>
          </w:p>
        </w:tc>
        <w:tc>
          <w:tcPr>
            <w:tcW w:w="708" w:type="dxa"/>
            <w:vAlign w:val="center"/>
          </w:tcPr>
          <w:p>
            <w:pPr>
              <w:spacing w:line="288" w:lineRule="auto"/>
              <w:jc w:val="center"/>
              <w:rPr>
                <w:rFonts w:hint="eastAsia" w:ascii="宋体" w:hAnsi="宋体" w:eastAsia="宋体" w:cs="宋体"/>
                <w:color w:val="auto"/>
                <w:sz w:val="21"/>
                <w:szCs w:val="21"/>
              </w:rPr>
            </w:pPr>
          </w:p>
        </w:tc>
        <w:tc>
          <w:tcPr>
            <w:tcW w:w="851" w:type="dxa"/>
            <w:vAlign w:val="center"/>
          </w:tcPr>
          <w:p>
            <w:pPr>
              <w:spacing w:line="288" w:lineRule="auto"/>
              <w:jc w:val="center"/>
              <w:rPr>
                <w:rFonts w:hint="eastAsia" w:ascii="宋体" w:hAnsi="宋体" w:eastAsia="宋体" w:cs="宋体"/>
                <w:color w:val="auto"/>
                <w:sz w:val="21"/>
                <w:szCs w:val="21"/>
              </w:rPr>
            </w:pPr>
          </w:p>
        </w:tc>
        <w:tc>
          <w:tcPr>
            <w:tcW w:w="850" w:type="dxa"/>
            <w:vAlign w:val="center"/>
          </w:tcPr>
          <w:p>
            <w:pPr>
              <w:spacing w:line="288" w:lineRule="auto"/>
              <w:jc w:val="center"/>
              <w:rPr>
                <w:rFonts w:hint="eastAsia" w:ascii="宋体" w:hAnsi="宋体" w:eastAsia="宋体" w:cs="宋体"/>
                <w:color w:val="auto"/>
                <w:sz w:val="21"/>
                <w:szCs w:val="21"/>
              </w:rPr>
            </w:pPr>
          </w:p>
        </w:tc>
        <w:tc>
          <w:tcPr>
            <w:tcW w:w="788" w:type="dxa"/>
            <w:vAlign w:val="center"/>
          </w:tcPr>
          <w:p>
            <w:pPr>
              <w:spacing w:line="288" w:lineRule="auto"/>
              <w:jc w:val="center"/>
              <w:rPr>
                <w:rFonts w:hint="eastAsia" w:ascii="宋体" w:hAnsi="宋体" w:eastAsia="宋体" w:cs="宋体"/>
                <w:color w:val="auto"/>
                <w:sz w:val="21"/>
                <w:szCs w:val="21"/>
              </w:rPr>
            </w:pPr>
          </w:p>
        </w:tc>
        <w:tc>
          <w:tcPr>
            <w:tcW w:w="1090" w:type="dxa"/>
            <w:tcBorders>
              <w:right w:val="single" w:color="auto" w:sz="6" w:space="0"/>
            </w:tcBorders>
            <w:vAlign w:val="center"/>
          </w:tcPr>
          <w:p>
            <w:pPr>
              <w:spacing w:line="288" w:lineRule="auto"/>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hint="eastAsia" w:ascii="宋体" w:hAnsi="宋体" w:eastAsia="宋体" w:cs="宋体"/>
                <w:color w:val="auto"/>
                <w:sz w:val="21"/>
                <w:szCs w:val="21"/>
              </w:rPr>
            </w:pPr>
          </w:p>
        </w:tc>
        <w:tc>
          <w:tcPr>
            <w:tcW w:w="822" w:type="dxa"/>
            <w:vAlign w:val="center"/>
          </w:tcPr>
          <w:p>
            <w:pPr>
              <w:spacing w:line="288" w:lineRule="auto"/>
              <w:jc w:val="center"/>
              <w:rPr>
                <w:rFonts w:hint="eastAsia" w:ascii="宋体" w:hAnsi="宋体" w:eastAsia="宋体" w:cs="宋体"/>
                <w:color w:val="auto"/>
                <w:sz w:val="21"/>
                <w:szCs w:val="21"/>
              </w:rPr>
            </w:pPr>
          </w:p>
        </w:tc>
        <w:tc>
          <w:tcPr>
            <w:tcW w:w="1392" w:type="dxa"/>
            <w:vAlign w:val="center"/>
          </w:tcPr>
          <w:p>
            <w:pPr>
              <w:spacing w:line="288" w:lineRule="auto"/>
              <w:jc w:val="center"/>
              <w:rPr>
                <w:rFonts w:hint="eastAsia" w:ascii="宋体" w:hAnsi="宋体" w:eastAsia="宋体" w:cs="宋体"/>
                <w:color w:val="auto"/>
                <w:sz w:val="21"/>
                <w:szCs w:val="21"/>
              </w:rPr>
            </w:pPr>
          </w:p>
        </w:tc>
        <w:tc>
          <w:tcPr>
            <w:tcW w:w="763" w:type="dxa"/>
            <w:vAlign w:val="center"/>
          </w:tcPr>
          <w:p>
            <w:pPr>
              <w:spacing w:line="288" w:lineRule="auto"/>
              <w:jc w:val="center"/>
              <w:rPr>
                <w:rFonts w:hint="eastAsia" w:ascii="宋体" w:hAnsi="宋体" w:eastAsia="宋体" w:cs="宋体"/>
                <w:color w:val="auto"/>
                <w:sz w:val="21"/>
                <w:szCs w:val="21"/>
              </w:rPr>
            </w:pPr>
          </w:p>
        </w:tc>
        <w:tc>
          <w:tcPr>
            <w:tcW w:w="708" w:type="dxa"/>
            <w:vAlign w:val="center"/>
          </w:tcPr>
          <w:p>
            <w:pPr>
              <w:spacing w:line="288" w:lineRule="auto"/>
              <w:jc w:val="center"/>
              <w:rPr>
                <w:rFonts w:hint="eastAsia" w:ascii="宋体" w:hAnsi="宋体" w:eastAsia="宋体" w:cs="宋体"/>
                <w:color w:val="auto"/>
                <w:sz w:val="21"/>
                <w:szCs w:val="21"/>
              </w:rPr>
            </w:pPr>
          </w:p>
        </w:tc>
        <w:tc>
          <w:tcPr>
            <w:tcW w:w="851" w:type="dxa"/>
            <w:vAlign w:val="center"/>
          </w:tcPr>
          <w:p>
            <w:pPr>
              <w:spacing w:line="288" w:lineRule="auto"/>
              <w:jc w:val="center"/>
              <w:rPr>
                <w:rFonts w:hint="eastAsia" w:ascii="宋体" w:hAnsi="宋体" w:eastAsia="宋体" w:cs="宋体"/>
                <w:color w:val="auto"/>
                <w:sz w:val="21"/>
                <w:szCs w:val="21"/>
              </w:rPr>
            </w:pPr>
          </w:p>
        </w:tc>
        <w:tc>
          <w:tcPr>
            <w:tcW w:w="850" w:type="dxa"/>
            <w:vAlign w:val="center"/>
          </w:tcPr>
          <w:p>
            <w:pPr>
              <w:spacing w:line="288" w:lineRule="auto"/>
              <w:jc w:val="center"/>
              <w:rPr>
                <w:rFonts w:hint="eastAsia" w:ascii="宋体" w:hAnsi="宋体" w:eastAsia="宋体" w:cs="宋体"/>
                <w:color w:val="auto"/>
                <w:sz w:val="21"/>
                <w:szCs w:val="21"/>
              </w:rPr>
            </w:pPr>
          </w:p>
        </w:tc>
        <w:tc>
          <w:tcPr>
            <w:tcW w:w="788" w:type="dxa"/>
            <w:vAlign w:val="center"/>
          </w:tcPr>
          <w:p>
            <w:pPr>
              <w:spacing w:line="288" w:lineRule="auto"/>
              <w:jc w:val="center"/>
              <w:rPr>
                <w:rFonts w:hint="eastAsia" w:ascii="宋体" w:hAnsi="宋体" w:eastAsia="宋体" w:cs="宋体"/>
                <w:color w:val="auto"/>
                <w:sz w:val="21"/>
                <w:szCs w:val="21"/>
              </w:rPr>
            </w:pPr>
          </w:p>
        </w:tc>
        <w:tc>
          <w:tcPr>
            <w:tcW w:w="1090" w:type="dxa"/>
            <w:tcBorders>
              <w:right w:val="single" w:color="auto" w:sz="6" w:space="0"/>
            </w:tcBorders>
            <w:vAlign w:val="center"/>
          </w:tcPr>
          <w:p>
            <w:pPr>
              <w:spacing w:line="288" w:lineRule="auto"/>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hint="eastAsia" w:ascii="宋体" w:hAnsi="宋体" w:eastAsia="宋体" w:cs="宋体"/>
                <w:color w:val="auto"/>
                <w:sz w:val="21"/>
                <w:szCs w:val="21"/>
              </w:rPr>
            </w:pPr>
          </w:p>
        </w:tc>
        <w:tc>
          <w:tcPr>
            <w:tcW w:w="822" w:type="dxa"/>
            <w:vAlign w:val="center"/>
          </w:tcPr>
          <w:p>
            <w:pPr>
              <w:spacing w:line="288" w:lineRule="auto"/>
              <w:jc w:val="center"/>
              <w:rPr>
                <w:rFonts w:hint="eastAsia" w:ascii="宋体" w:hAnsi="宋体" w:eastAsia="宋体" w:cs="宋体"/>
                <w:color w:val="auto"/>
                <w:sz w:val="21"/>
                <w:szCs w:val="21"/>
              </w:rPr>
            </w:pPr>
          </w:p>
        </w:tc>
        <w:tc>
          <w:tcPr>
            <w:tcW w:w="1392" w:type="dxa"/>
            <w:vAlign w:val="center"/>
          </w:tcPr>
          <w:p>
            <w:pPr>
              <w:spacing w:line="288" w:lineRule="auto"/>
              <w:jc w:val="center"/>
              <w:rPr>
                <w:rFonts w:hint="eastAsia" w:ascii="宋体" w:hAnsi="宋体" w:eastAsia="宋体" w:cs="宋体"/>
                <w:color w:val="auto"/>
                <w:sz w:val="21"/>
                <w:szCs w:val="21"/>
              </w:rPr>
            </w:pPr>
          </w:p>
        </w:tc>
        <w:tc>
          <w:tcPr>
            <w:tcW w:w="763" w:type="dxa"/>
            <w:vAlign w:val="center"/>
          </w:tcPr>
          <w:p>
            <w:pPr>
              <w:spacing w:line="288" w:lineRule="auto"/>
              <w:jc w:val="center"/>
              <w:rPr>
                <w:rFonts w:hint="eastAsia" w:ascii="宋体" w:hAnsi="宋体" w:eastAsia="宋体" w:cs="宋体"/>
                <w:color w:val="auto"/>
                <w:sz w:val="21"/>
                <w:szCs w:val="21"/>
              </w:rPr>
            </w:pPr>
          </w:p>
        </w:tc>
        <w:tc>
          <w:tcPr>
            <w:tcW w:w="708" w:type="dxa"/>
            <w:vAlign w:val="center"/>
          </w:tcPr>
          <w:p>
            <w:pPr>
              <w:spacing w:line="288" w:lineRule="auto"/>
              <w:jc w:val="center"/>
              <w:rPr>
                <w:rFonts w:hint="eastAsia" w:ascii="宋体" w:hAnsi="宋体" w:eastAsia="宋体" w:cs="宋体"/>
                <w:color w:val="auto"/>
                <w:sz w:val="21"/>
                <w:szCs w:val="21"/>
              </w:rPr>
            </w:pPr>
          </w:p>
        </w:tc>
        <w:tc>
          <w:tcPr>
            <w:tcW w:w="851" w:type="dxa"/>
            <w:vAlign w:val="center"/>
          </w:tcPr>
          <w:p>
            <w:pPr>
              <w:spacing w:line="288" w:lineRule="auto"/>
              <w:jc w:val="center"/>
              <w:rPr>
                <w:rFonts w:hint="eastAsia" w:ascii="宋体" w:hAnsi="宋体" w:eastAsia="宋体" w:cs="宋体"/>
                <w:color w:val="auto"/>
                <w:sz w:val="21"/>
                <w:szCs w:val="21"/>
              </w:rPr>
            </w:pPr>
          </w:p>
        </w:tc>
        <w:tc>
          <w:tcPr>
            <w:tcW w:w="850" w:type="dxa"/>
            <w:vAlign w:val="center"/>
          </w:tcPr>
          <w:p>
            <w:pPr>
              <w:spacing w:line="288" w:lineRule="auto"/>
              <w:jc w:val="center"/>
              <w:rPr>
                <w:rFonts w:hint="eastAsia" w:ascii="宋体" w:hAnsi="宋体" w:eastAsia="宋体" w:cs="宋体"/>
                <w:color w:val="auto"/>
                <w:sz w:val="21"/>
                <w:szCs w:val="21"/>
              </w:rPr>
            </w:pPr>
          </w:p>
        </w:tc>
        <w:tc>
          <w:tcPr>
            <w:tcW w:w="788" w:type="dxa"/>
            <w:vAlign w:val="center"/>
          </w:tcPr>
          <w:p>
            <w:pPr>
              <w:spacing w:line="288" w:lineRule="auto"/>
              <w:jc w:val="center"/>
              <w:rPr>
                <w:rFonts w:hint="eastAsia" w:ascii="宋体" w:hAnsi="宋体" w:eastAsia="宋体" w:cs="宋体"/>
                <w:color w:val="auto"/>
                <w:sz w:val="21"/>
                <w:szCs w:val="21"/>
              </w:rPr>
            </w:pPr>
          </w:p>
        </w:tc>
        <w:tc>
          <w:tcPr>
            <w:tcW w:w="1090" w:type="dxa"/>
            <w:tcBorders>
              <w:right w:val="single" w:color="auto" w:sz="6" w:space="0"/>
            </w:tcBorders>
            <w:vAlign w:val="center"/>
          </w:tcPr>
          <w:p>
            <w:pPr>
              <w:spacing w:line="288" w:lineRule="auto"/>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hint="eastAsia" w:ascii="宋体" w:hAnsi="宋体" w:eastAsia="宋体" w:cs="宋体"/>
                <w:color w:val="auto"/>
                <w:sz w:val="21"/>
                <w:szCs w:val="21"/>
              </w:rPr>
            </w:pPr>
          </w:p>
        </w:tc>
        <w:tc>
          <w:tcPr>
            <w:tcW w:w="822" w:type="dxa"/>
            <w:vAlign w:val="center"/>
          </w:tcPr>
          <w:p>
            <w:pPr>
              <w:spacing w:line="288" w:lineRule="auto"/>
              <w:jc w:val="center"/>
              <w:rPr>
                <w:rFonts w:hint="eastAsia" w:ascii="宋体" w:hAnsi="宋体" w:eastAsia="宋体" w:cs="宋体"/>
                <w:color w:val="auto"/>
                <w:sz w:val="21"/>
                <w:szCs w:val="21"/>
              </w:rPr>
            </w:pPr>
          </w:p>
        </w:tc>
        <w:tc>
          <w:tcPr>
            <w:tcW w:w="1392" w:type="dxa"/>
            <w:vAlign w:val="center"/>
          </w:tcPr>
          <w:p>
            <w:pPr>
              <w:spacing w:line="288" w:lineRule="auto"/>
              <w:jc w:val="center"/>
              <w:rPr>
                <w:rFonts w:hint="eastAsia" w:ascii="宋体" w:hAnsi="宋体" w:eastAsia="宋体" w:cs="宋体"/>
                <w:color w:val="auto"/>
                <w:sz w:val="21"/>
                <w:szCs w:val="21"/>
              </w:rPr>
            </w:pPr>
          </w:p>
        </w:tc>
        <w:tc>
          <w:tcPr>
            <w:tcW w:w="763" w:type="dxa"/>
            <w:vAlign w:val="center"/>
          </w:tcPr>
          <w:p>
            <w:pPr>
              <w:spacing w:line="288" w:lineRule="auto"/>
              <w:jc w:val="center"/>
              <w:rPr>
                <w:rFonts w:hint="eastAsia" w:ascii="宋体" w:hAnsi="宋体" w:eastAsia="宋体" w:cs="宋体"/>
                <w:color w:val="auto"/>
                <w:sz w:val="21"/>
                <w:szCs w:val="21"/>
              </w:rPr>
            </w:pPr>
          </w:p>
        </w:tc>
        <w:tc>
          <w:tcPr>
            <w:tcW w:w="708" w:type="dxa"/>
            <w:vAlign w:val="center"/>
          </w:tcPr>
          <w:p>
            <w:pPr>
              <w:spacing w:line="288" w:lineRule="auto"/>
              <w:jc w:val="center"/>
              <w:rPr>
                <w:rFonts w:hint="eastAsia" w:ascii="宋体" w:hAnsi="宋体" w:eastAsia="宋体" w:cs="宋体"/>
                <w:color w:val="auto"/>
                <w:sz w:val="21"/>
                <w:szCs w:val="21"/>
              </w:rPr>
            </w:pPr>
          </w:p>
        </w:tc>
        <w:tc>
          <w:tcPr>
            <w:tcW w:w="851" w:type="dxa"/>
            <w:vAlign w:val="center"/>
          </w:tcPr>
          <w:p>
            <w:pPr>
              <w:spacing w:line="288" w:lineRule="auto"/>
              <w:jc w:val="center"/>
              <w:rPr>
                <w:rFonts w:hint="eastAsia" w:ascii="宋体" w:hAnsi="宋体" w:eastAsia="宋体" w:cs="宋体"/>
                <w:color w:val="auto"/>
                <w:sz w:val="21"/>
                <w:szCs w:val="21"/>
              </w:rPr>
            </w:pPr>
          </w:p>
        </w:tc>
        <w:tc>
          <w:tcPr>
            <w:tcW w:w="850" w:type="dxa"/>
            <w:vAlign w:val="center"/>
          </w:tcPr>
          <w:p>
            <w:pPr>
              <w:spacing w:line="288" w:lineRule="auto"/>
              <w:jc w:val="center"/>
              <w:rPr>
                <w:rFonts w:hint="eastAsia" w:ascii="宋体" w:hAnsi="宋体" w:eastAsia="宋体" w:cs="宋体"/>
                <w:color w:val="auto"/>
                <w:sz w:val="21"/>
                <w:szCs w:val="21"/>
              </w:rPr>
            </w:pPr>
          </w:p>
        </w:tc>
        <w:tc>
          <w:tcPr>
            <w:tcW w:w="788" w:type="dxa"/>
            <w:vAlign w:val="center"/>
          </w:tcPr>
          <w:p>
            <w:pPr>
              <w:spacing w:line="288" w:lineRule="auto"/>
              <w:jc w:val="center"/>
              <w:rPr>
                <w:rFonts w:hint="eastAsia" w:ascii="宋体" w:hAnsi="宋体" w:eastAsia="宋体" w:cs="宋体"/>
                <w:color w:val="auto"/>
                <w:sz w:val="21"/>
                <w:szCs w:val="21"/>
              </w:rPr>
            </w:pPr>
          </w:p>
        </w:tc>
        <w:tc>
          <w:tcPr>
            <w:tcW w:w="1090" w:type="dxa"/>
            <w:tcBorders>
              <w:right w:val="single" w:color="auto" w:sz="6" w:space="0"/>
            </w:tcBorders>
            <w:vAlign w:val="center"/>
          </w:tcPr>
          <w:p>
            <w:pPr>
              <w:spacing w:line="288" w:lineRule="auto"/>
              <w:jc w:val="center"/>
              <w:rPr>
                <w:rFonts w:hint="eastAsia" w:ascii="宋体" w:hAnsi="宋体" w:eastAsia="宋体" w:cs="宋体"/>
                <w:color w:val="auto"/>
                <w:sz w:val="21"/>
                <w:szCs w:val="21"/>
              </w:rPr>
            </w:pPr>
          </w:p>
        </w:tc>
      </w:tr>
    </w:tbl>
    <w:p>
      <w:pPr>
        <w:ind w:firstLine="178" w:firstLineChars="85"/>
        <w:rPr>
          <w:rFonts w:hint="eastAsia" w:ascii="宋体" w:hAnsi="宋体" w:eastAsia="宋体" w:cs="宋体"/>
          <w:color w:val="auto"/>
          <w:sz w:val="21"/>
          <w:szCs w:val="21"/>
        </w:rPr>
      </w:pPr>
    </w:p>
    <w:p>
      <w:pPr>
        <w:ind w:firstLine="178" w:firstLineChars="85"/>
        <w:rPr>
          <w:rFonts w:hint="eastAsia" w:ascii="宋体" w:hAnsi="宋体" w:eastAsia="宋体" w:cs="宋体"/>
          <w:color w:val="auto"/>
          <w:sz w:val="21"/>
          <w:szCs w:val="21"/>
        </w:rPr>
      </w:pPr>
      <w:r>
        <w:rPr>
          <w:rFonts w:hint="eastAsia" w:ascii="宋体" w:hAnsi="宋体" w:eastAsia="宋体" w:cs="宋体"/>
          <w:color w:val="auto"/>
          <w:sz w:val="21"/>
          <w:szCs w:val="21"/>
        </w:rPr>
        <w:t>附有关证明文件（复印件加盖公章）</w:t>
      </w:r>
    </w:p>
    <w:p>
      <w:pPr>
        <w:ind w:firstLine="178" w:firstLineChars="85"/>
        <w:rPr>
          <w:rFonts w:hint="eastAsia" w:ascii="宋体" w:hAnsi="宋体" w:eastAsia="宋体" w:cs="宋体"/>
          <w:color w:val="auto"/>
          <w:sz w:val="21"/>
          <w:szCs w:val="21"/>
        </w:rPr>
      </w:pPr>
      <w:r>
        <w:rPr>
          <w:rFonts w:hint="eastAsia" w:ascii="宋体" w:hAnsi="宋体" w:eastAsia="宋体" w:cs="宋体"/>
          <w:color w:val="auto"/>
          <w:sz w:val="21"/>
          <w:szCs w:val="21"/>
        </w:rPr>
        <w:t>投标人代表签字：</w:t>
      </w:r>
    </w:p>
    <w:p>
      <w:pPr>
        <w:ind w:firstLine="178" w:firstLineChars="85"/>
        <w:rPr>
          <w:rFonts w:hint="eastAsia" w:ascii="宋体" w:hAnsi="宋体" w:eastAsia="宋体" w:cs="宋体"/>
          <w:color w:val="auto"/>
          <w:sz w:val="21"/>
          <w:szCs w:val="21"/>
        </w:rPr>
      </w:pPr>
      <w:r>
        <w:rPr>
          <w:rFonts w:hint="eastAsia" w:ascii="宋体" w:hAnsi="宋体" w:eastAsia="宋体" w:cs="宋体"/>
          <w:color w:val="auto"/>
          <w:sz w:val="21"/>
          <w:szCs w:val="21"/>
        </w:rPr>
        <w:t>投标人盖章：</w:t>
      </w:r>
    </w:p>
    <w:p>
      <w:pPr>
        <w:rPr>
          <w:rFonts w:hint="eastAsia" w:ascii="宋体" w:hAnsi="宋体" w:eastAsia="宋体" w:cs="宋体"/>
          <w:color w:val="auto"/>
          <w:sz w:val="21"/>
          <w:szCs w:val="21"/>
        </w:rPr>
      </w:pPr>
      <w:r>
        <w:rPr>
          <w:rFonts w:hint="eastAsia" w:ascii="宋体" w:hAnsi="宋体" w:eastAsia="宋体" w:cs="宋体"/>
          <w:color w:val="auto"/>
          <w:sz w:val="21"/>
          <w:szCs w:val="21"/>
        </w:rPr>
        <w:t>注：</w:t>
      </w:r>
    </w:p>
    <w:p>
      <w:pPr>
        <w:pStyle w:val="23"/>
        <w:numPr>
          <w:ilvl w:val="0"/>
          <w:numId w:val="12"/>
        </w:numPr>
        <w:ind w:firstLineChars="0"/>
        <w:rPr>
          <w:rFonts w:hint="eastAsia" w:ascii="宋体" w:hAnsi="宋体" w:eastAsia="宋体" w:cs="宋体"/>
          <w:color w:val="auto"/>
          <w:sz w:val="21"/>
          <w:szCs w:val="21"/>
        </w:rPr>
      </w:pPr>
      <w:r>
        <w:rPr>
          <w:rFonts w:hint="eastAsia" w:ascii="宋体" w:hAnsi="宋体" w:eastAsia="宋体" w:cs="宋体"/>
          <w:color w:val="auto"/>
          <w:sz w:val="21"/>
          <w:szCs w:val="21"/>
        </w:rPr>
        <w:t>投标人可按项目的实际需要提供本表格。</w:t>
      </w:r>
    </w:p>
    <w:p>
      <w:pPr>
        <w:pStyle w:val="23"/>
        <w:numPr>
          <w:ilvl w:val="0"/>
          <w:numId w:val="12"/>
        </w:numPr>
        <w:ind w:firstLineChars="0"/>
        <w:rPr>
          <w:rFonts w:hint="eastAsia" w:ascii="宋体" w:hAnsi="宋体" w:eastAsia="宋体" w:cs="宋体"/>
          <w:color w:val="auto"/>
          <w:sz w:val="21"/>
          <w:szCs w:val="21"/>
        </w:rPr>
      </w:pPr>
      <w:r>
        <w:rPr>
          <w:rFonts w:hint="eastAsia" w:ascii="宋体" w:hAnsi="宋体" w:eastAsia="宋体" w:cs="宋体"/>
          <w:color w:val="auto"/>
          <w:sz w:val="21"/>
          <w:szCs w:val="21"/>
        </w:rPr>
        <w:t>该表格为参考格式，投标人可按实际情况自行制订。</w:t>
      </w:r>
    </w:p>
    <w:p>
      <w:p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3、投标人若未提供或未填写完整则视为完全响应招标文件的人员要求，因此</w:t>
      </w:r>
      <w:r>
        <w:rPr>
          <w:rFonts w:hint="eastAsia" w:ascii="宋体" w:hAnsi="宋体" w:eastAsia="宋体" w:cs="宋体"/>
          <w:color w:val="auto"/>
          <w:sz w:val="21"/>
          <w:szCs w:val="21"/>
        </w:rPr>
        <w:t>对投标人投标产生负面影响的，投标人自行承担后果。</w:t>
      </w:r>
    </w:p>
    <w:p>
      <w:pPr>
        <w:pStyle w:val="23"/>
        <w:numPr>
          <w:ilvl w:val="0"/>
          <w:numId w:val="12"/>
        </w:numPr>
        <w:ind w:firstLineChars="0"/>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pPr>
        <w:pStyle w:val="5"/>
        <w:widowControl w:val="0"/>
        <w:overflowPunct w:val="0"/>
        <w:spacing w:before="0" w:after="0" w:line="240" w:lineRule="auto"/>
        <w:rPr>
          <w:rFonts w:hint="eastAsia" w:ascii="宋体" w:hAnsi="宋体" w:eastAsia="宋体" w:cs="宋体"/>
          <w:color w:val="auto"/>
          <w:sz w:val="21"/>
          <w:szCs w:val="21"/>
        </w:rPr>
      </w:pPr>
      <w:bookmarkStart w:id="152" w:name="_Toc30553"/>
      <w:r>
        <w:rPr>
          <w:rFonts w:hint="eastAsia" w:ascii="宋体" w:hAnsi="宋体" w:eastAsia="宋体" w:cs="宋体"/>
          <w:color w:val="auto"/>
          <w:sz w:val="21"/>
          <w:szCs w:val="21"/>
        </w:rPr>
        <w:t>附件16.投标货物说明一览表格式</w:t>
      </w:r>
      <w:bookmarkEnd w:id="152"/>
    </w:p>
    <w:p>
      <w:pPr>
        <w:jc w:val="center"/>
        <w:rPr>
          <w:rFonts w:hint="eastAsia" w:ascii="宋体" w:hAnsi="宋体" w:eastAsia="宋体" w:cs="宋体"/>
          <w:color w:val="auto"/>
          <w:sz w:val="28"/>
          <w:szCs w:val="28"/>
        </w:rPr>
      </w:pPr>
    </w:p>
    <w:p>
      <w:pPr>
        <w:jc w:val="center"/>
        <w:rPr>
          <w:rFonts w:hint="eastAsia" w:ascii="宋体" w:hAnsi="宋体" w:eastAsia="宋体" w:cs="宋体"/>
          <w:color w:val="auto"/>
          <w:sz w:val="28"/>
          <w:szCs w:val="28"/>
        </w:rPr>
      </w:pPr>
      <w:r>
        <w:rPr>
          <w:rFonts w:hint="eastAsia" w:ascii="宋体" w:hAnsi="宋体" w:eastAsia="宋体" w:cs="宋体"/>
          <w:color w:val="auto"/>
          <w:sz w:val="28"/>
          <w:szCs w:val="28"/>
        </w:rPr>
        <w:t>投标货物说明一览表</w:t>
      </w:r>
    </w:p>
    <w:tbl>
      <w:tblPr>
        <w:tblStyle w:val="1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775"/>
        <w:gridCol w:w="1618"/>
        <w:gridCol w:w="1217"/>
        <w:gridCol w:w="1656"/>
        <w:gridCol w:w="1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51" w:type="dxa"/>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1775" w:type="dxa"/>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货物名称</w:t>
            </w:r>
          </w:p>
        </w:tc>
        <w:tc>
          <w:tcPr>
            <w:tcW w:w="1618" w:type="dxa"/>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规格型号</w:t>
            </w:r>
          </w:p>
        </w:tc>
        <w:tc>
          <w:tcPr>
            <w:tcW w:w="1217" w:type="dxa"/>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数量</w:t>
            </w:r>
          </w:p>
        </w:tc>
        <w:tc>
          <w:tcPr>
            <w:tcW w:w="1656" w:type="dxa"/>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单价</w:t>
            </w:r>
          </w:p>
        </w:tc>
        <w:tc>
          <w:tcPr>
            <w:tcW w:w="1305" w:type="dxa"/>
            <w:vAlign w:val="center"/>
          </w:tcPr>
          <w:p>
            <w:pPr>
              <w:spacing w:after="0"/>
              <w:jc w:val="center"/>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51" w:type="dxa"/>
            <w:vAlign w:val="center"/>
          </w:tcPr>
          <w:p>
            <w:pPr>
              <w:spacing w:after="0"/>
              <w:jc w:val="center"/>
              <w:rPr>
                <w:rFonts w:hint="eastAsia" w:ascii="宋体" w:hAnsi="宋体" w:eastAsia="宋体" w:cs="宋体"/>
                <w:color w:val="auto"/>
                <w:sz w:val="21"/>
                <w:szCs w:val="21"/>
              </w:rPr>
            </w:pPr>
          </w:p>
        </w:tc>
        <w:tc>
          <w:tcPr>
            <w:tcW w:w="1775" w:type="dxa"/>
            <w:vAlign w:val="center"/>
          </w:tcPr>
          <w:p>
            <w:pPr>
              <w:spacing w:after="0"/>
              <w:jc w:val="center"/>
              <w:rPr>
                <w:rFonts w:hint="eastAsia" w:ascii="宋体" w:hAnsi="宋体" w:eastAsia="宋体" w:cs="宋体"/>
                <w:color w:val="auto"/>
                <w:sz w:val="21"/>
                <w:szCs w:val="21"/>
              </w:rPr>
            </w:pPr>
          </w:p>
        </w:tc>
        <w:tc>
          <w:tcPr>
            <w:tcW w:w="1618" w:type="dxa"/>
            <w:vAlign w:val="center"/>
          </w:tcPr>
          <w:p>
            <w:pPr>
              <w:spacing w:after="0"/>
              <w:jc w:val="center"/>
              <w:rPr>
                <w:rFonts w:hint="eastAsia" w:ascii="宋体" w:hAnsi="宋体" w:eastAsia="宋体" w:cs="宋体"/>
                <w:color w:val="auto"/>
                <w:sz w:val="21"/>
                <w:szCs w:val="21"/>
              </w:rPr>
            </w:pPr>
          </w:p>
        </w:tc>
        <w:tc>
          <w:tcPr>
            <w:tcW w:w="1217" w:type="dxa"/>
            <w:vAlign w:val="center"/>
          </w:tcPr>
          <w:p>
            <w:pPr>
              <w:spacing w:after="0"/>
              <w:jc w:val="center"/>
              <w:rPr>
                <w:rFonts w:hint="eastAsia" w:ascii="宋体" w:hAnsi="宋体" w:eastAsia="宋体" w:cs="宋体"/>
                <w:color w:val="auto"/>
                <w:sz w:val="21"/>
                <w:szCs w:val="21"/>
              </w:rPr>
            </w:pPr>
          </w:p>
        </w:tc>
        <w:tc>
          <w:tcPr>
            <w:tcW w:w="1656" w:type="dxa"/>
            <w:vAlign w:val="center"/>
          </w:tcPr>
          <w:p>
            <w:pPr>
              <w:spacing w:after="0"/>
              <w:jc w:val="center"/>
              <w:rPr>
                <w:rFonts w:hint="eastAsia" w:ascii="宋体" w:hAnsi="宋体" w:eastAsia="宋体" w:cs="宋体"/>
                <w:color w:val="auto"/>
                <w:sz w:val="21"/>
                <w:szCs w:val="21"/>
              </w:rPr>
            </w:pPr>
          </w:p>
        </w:tc>
        <w:tc>
          <w:tcPr>
            <w:tcW w:w="1305" w:type="dxa"/>
            <w:vAlign w:val="center"/>
          </w:tcPr>
          <w:p>
            <w:pPr>
              <w:spacing w:after="0"/>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51" w:type="dxa"/>
            <w:vAlign w:val="center"/>
          </w:tcPr>
          <w:p>
            <w:pPr>
              <w:spacing w:after="0"/>
              <w:jc w:val="center"/>
              <w:rPr>
                <w:rFonts w:hint="eastAsia" w:ascii="宋体" w:hAnsi="宋体" w:eastAsia="宋体" w:cs="宋体"/>
                <w:color w:val="auto"/>
                <w:sz w:val="21"/>
                <w:szCs w:val="21"/>
              </w:rPr>
            </w:pPr>
          </w:p>
        </w:tc>
        <w:tc>
          <w:tcPr>
            <w:tcW w:w="1775" w:type="dxa"/>
            <w:vAlign w:val="center"/>
          </w:tcPr>
          <w:p>
            <w:pPr>
              <w:spacing w:after="0"/>
              <w:jc w:val="center"/>
              <w:rPr>
                <w:rFonts w:hint="eastAsia" w:ascii="宋体" w:hAnsi="宋体" w:eastAsia="宋体" w:cs="宋体"/>
                <w:color w:val="auto"/>
                <w:sz w:val="21"/>
                <w:szCs w:val="21"/>
              </w:rPr>
            </w:pPr>
          </w:p>
        </w:tc>
        <w:tc>
          <w:tcPr>
            <w:tcW w:w="1618" w:type="dxa"/>
            <w:vAlign w:val="center"/>
          </w:tcPr>
          <w:p>
            <w:pPr>
              <w:spacing w:after="0"/>
              <w:jc w:val="center"/>
              <w:rPr>
                <w:rFonts w:hint="eastAsia" w:ascii="宋体" w:hAnsi="宋体" w:eastAsia="宋体" w:cs="宋体"/>
                <w:color w:val="auto"/>
                <w:sz w:val="21"/>
                <w:szCs w:val="21"/>
              </w:rPr>
            </w:pPr>
          </w:p>
        </w:tc>
        <w:tc>
          <w:tcPr>
            <w:tcW w:w="1217" w:type="dxa"/>
            <w:vAlign w:val="center"/>
          </w:tcPr>
          <w:p>
            <w:pPr>
              <w:spacing w:after="0"/>
              <w:jc w:val="center"/>
              <w:rPr>
                <w:rFonts w:hint="eastAsia" w:ascii="宋体" w:hAnsi="宋体" w:eastAsia="宋体" w:cs="宋体"/>
                <w:color w:val="auto"/>
                <w:sz w:val="21"/>
                <w:szCs w:val="21"/>
              </w:rPr>
            </w:pPr>
          </w:p>
        </w:tc>
        <w:tc>
          <w:tcPr>
            <w:tcW w:w="1656" w:type="dxa"/>
            <w:vAlign w:val="center"/>
          </w:tcPr>
          <w:p>
            <w:pPr>
              <w:spacing w:after="0"/>
              <w:jc w:val="center"/>
              <w:rPr>
                <w:rFonts w:hint="eastAsia" w:ascii="宋体" w:hAnsi="宋体" w:eastAsia="宋体" w:cs="宋体"/>
                <w:color w:val="auto"/>
                <w:sz w:val="21"/>
                <w:szCs w:val="21"/>
              </w:rPr>
            </w:pPr>
          </w:p>
        </w:tc>
        <w:tc>
          <w:tcPr>
            <w:tcW w:w="1305" w:type="dxa"/>
            <w:vAlign w:val="center"/>
          </w:tcPr>
          <w:p>
            <w:pPr>
              <w:spacing w:after="0"/>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51" w:type="dxa"/>
            <w:vAlign w:val="center"/>
          </w:tcPr>
          <w:p>
            <w:pPr>
              <w:spacing w:after="0"/>
              <w:jc w:val="center"/>
              <w:rPr>
                <w:rFonts w:hint="eastAsia" w:ascii="宋体" w:hAnsi="宋体" w:eastAsia="宋体" w:cs="宋体"/>
                <w:color w:val="auto"/>
                <w:sz w:val="21"/>
                <w:szCs w:val="21"/>
              </w:rPr>
            </w:pPr>
          </w:p>
        </w:tc>
        <w:tc>
          <w:tcPr>
            <w:tcW w:w="1775" w:type="dxa"/>
            <w:vAlign w:val="center"/>
          </w:tcPr>
          <w:p>
            <w:pPr>
              <w:spacing w:after="0"/>
              <w:jc w:val="center"/>
              <w:rPr>
                <w:rFonts w:hint="eastAsia" w:ascii="宋体" w:hAnsi="宋体" w:eastAsia="宋体" w:cs="宋体"/>
                <w:color w:val="auto"/>
                <w:sz w:val="21"/>
                <w:szCs w:val="21"/>
              </w:rPr>
            </w:pPr>
          </w:p>
        </w:tc>
        <w:tc>
          <w:tcPr>
            <w:tcW w:w="1618" w:type="dxa"/>
            <w:vAlign w:val="center"/>
          </w:tcPr>
          <w:p>
            <w:pPr>
              <w:spacing w:after="0"/>
              <w:jc w:val="center"/>
              <w:rPr>
                <w:rFonts w:hint="eastAsia" w:ascii="宋体" w:hAnsi="宋体" w:eastAsia="宋体" w:cs="宋体"/>
                <w:color w:val="auto"/>
                <w:sz w:val="21"/>
                <w:szCs w:val="21"/>
              </w:rPr>
            </w:pPr>
          </w:p>
        </w:tc>
        <w:tc>
          <w:tcPr>
            <w:tcW w:w="1217" w:type="dxa"/>
            <w:vAlign w:val="center"/>
          </w:tcPr>
          <w:p>
            <w:pPr>
              <w:spacing w:after="0"/>
              <w:jc w:val="center"/>
              <w:rPr>
                <w:rFonts w:hint="eastAsia" w:ascii="宋体" w:hAnsi="宋体" w:eastAsia="宋体" w:cs="宋体"/>
                <w:color w:val="auto"/>
                <w:sz w:val="21"/>
                <w:szCs w:val="21"/>
              </w:rPr>
            </w:pPr>
          </w:p>
        </w:tc>
        <w:tc>
          <w:tcPr>
            <w:tcW w:w="1656" w:type="dxa"/>
            <w:vAlign w:val="center"/>
          </w:tcPr>
          <w:p>
            <w:pPr>
              <w:spacing w:after="0"/>
              <w:jc w:val="center"/>
              <w:rPr>
                <w:rFonts w:hint="eastAsia" w:ascii="宋体" w:hAnsi="宋体" w:eastAsia="宋体" w:cs="宋体"/>
                <w:color w:val="auto"/>
                <w:sz w:val="21"/>
                <w:szCs w:val="21"/>
              </w:rPr>
            </w:pPr>
          </w:p>
        </w:tc>
        <w:tc>
          <w:tcPr>
            <w:tcW w:w="1305" w:type="dxa"/>
            <w:vAlign w:val="center"/>
          </w:tcPr>
          <w:p>
            <w:pPr>
              <w:spacing w:after="0"/>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51" w:type="dxa"/>
            <w:vAlign w:val="center"/>
          </w:tcPr>
          <w:p>
            <w:pPr>
              <w:spacing w:after="0"/>
              <w:jc w:val="center"/>
              <w:rPr>
                <w:rFonts w:hint="eastAsia" w:ascii="宋体" w:hAnsi="宋体" w:eastAsia="宋体" w:cs="宋体"/>
                <w:color w:val="auto"/>
                <w:sz w:val="21"/>
                <w:szCs w:val="21"/>
              </w:rPr>
            </w:pPr>
          </w:p>
        </w:tc>
        <w:tc>
          <w:tcPr>
            <w:tcW w:w="1775" w:type="dxa"/>
            <w:vAlign w:val="center"/>
          </w:tcPr>
          <w:p>
            <w:pPr>
              <w:spacing w:after="0"/>
              <w:jc w:val="center"/>
              <w:rPr>
                <w:rFonts w:hint="eastAsia" w:ascii="宋体" w:hAnsi="宋体" w:eastAsia="宋体" w:cs="宋体"/>
                <w:color w:val="auto"/>
                <w:sz w:val="21"/>
                <w:szCs w:val="21"/>
              </w:rPr>
            </w:pPr>
          </w:p>
        </w:tc>
        <w:tc>
          <w:tcPr>
            <w:tcW w:w="1618" w:type="dxa"/>
            <w:vAlign w:val="center"/>
          </w:tcPr>
          <w:p>
            <w:pPr>
              <w:spacing w:after="0"/>
              <w:jc w:val="center"/>
              <w:rPr>
                <w:rFonts w:hint="eastAsia" w:ascii="宋体" w:hAnsi="宋体" w:eastAsia="宋体" w:cs="宋体"/>
                <w:color w:val="auto"/>
                <w:sz w:val="21"/>
                <w:szCs w:val="21"/>
              </w:rPr>
            </w:pPr>
          </w:p>
        </w:tc>
        <w:tc>
          <w:tcPr>
            <w:tcW w:w="1217" w:type="dxa"/>
            <w:vAlign w:val="center"/>
          </w:tcPr>
          <w:p>
            <w:pPr>
              <w:spacing w:after="0"/>
              <w:jc w:val="center"/>
              <w:rPr>
                <w:rFonts w:hint="eastAsia" w:ascii="宋体" w:hAnsi="宋体" w:eastAsia="宋体" w:cs="宋体"/>
                <w:color w:val="auto"/>
                <w:sz w:val="21"/>
                <w:szCs w:val="21"/>
              </w:rPr>
            </w:pPr>
          </w:p>
        </w:tc>
        <w:tc>
          <w:tcPr>
            <w:tcW w:w="1656" w:type="dxa"/>
            <w:vAlign w:val="center"/>
          </w:tcPr>
          <w:p>
            <w:pPr>
              <w:spacing w:after="0"/>
              <w:jc w:val="center"/>
              <w:rPr>
                <w:rFonts w:hint="eastAsia" w:ascii="宋体" w:hAnsi="宋体" w:eastAsia="宋体" w:cs="宋体"/>
                <w:color w:val="auto"/>
                <w:sz w:val="21"/>
                <w:szCs w:val="21"/>
              </w:rPr>
            </w:pPr>
          </w:p>
        </w:tc>
        <w:tc>
          <w:tcPr>
            <w:tcW w:w="1305" w:type="dxa"/>
            <w:vAlign w:val="center"/>
          </w:tcPr>
          <w:p>
            <w:pPr>
              <w:spacing w:after="0"/>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51" w:type="dxa"/>
            <w:vAlign w:val="center"/>
          </w:tcPr>
          <w:p>
            <w:pPr>
              <w:spacing w:after="0"/>
              <w:jc w:val="center"/>
              <w:rPr>
                <w:rFonts w:hint="eastAsia" w:ascii="宋体" w:hAnsi="宋体" w:eastAsia="宋体" w:cs="宋体"/>
                <w:color w:val="auto"/>
                <w:sz w:val="21"/>
                <w:szCs w:val="21"/>
              </w:rPr>
            </w:pPr>
          </w:p>
        </w:tc>
        <w:tc>
          <w:tcPr>
            <w:tcW w:w="1775" w:type="dxa"/>
            <w:vAlign w:val="center"/>
          </w:tcPr>
          <w:p>
            <w:pPr>
              <w:spacing w:after="0"/>
              <w:jc w:val="center"/>
              <w:rPr>
                <w:rFonts w:hint="eastAsia" w:ascii="宋体" w:hAnsi="宋体" w:eastAsia="宋体" w:cs="宋体"/>
                <w:color w:val="auto"/>
                <w:sz w:val="21"/>
                <w:szCs w:val="21"/>
              </w:rPr>
            </w:pPr>
          </w:p>
        </w:tc>
        <w:tc>
          <w:tcPr>
            <w:tcW w:w="1618" w:type="dxa"/>
            <w:vAlign w:val="center"/>
          </w:tcPr>
          <w:p>
            <w:pPr>
              <w:spacing w:after="0"/>
              <w:jc w:val="center"/>
              <w:rPr>
                <w:rFonts w:hint="eastAsia" w:ascii="宋体" w:hAnsi="宋体" w:eastAsia="宋体" w:cs="宋体"/>
                <w:color w:val="auto"/>
                <w:sz w:val="21"/>
                <w:szCs w:val="21"/>
              </w:rPr>
            </w:pPr>
          </w:p>
        </w:tc>
        <w:tc>
          <w:tcPr>
            <w:tcW w:w="1217" w:type="dxa"/>
            <w:vAlign w:val="center"/>
          </w:tcPr>
          <w:p>
            <w:pPr>
              <w:spacing w:after="0"/>
              <w:jc w:val="center"/>
              <w:rPr>
                <w:rFonts w:hint="eastAsia" w:ascii="宋体" w:hAnsi="宋体" w:eastAsia="宋体" w:cs="宋体"/>
                <w:color w:val="auto"/>
                <w:sz w:val="21"/>
                <w:szCs w:val="21"/>
              </w:rPr>
            </w:pPr>
          </w:p>
        </w:tc>
        <w:tc>
          <w:tcPr>
            <w:tcW w:w="1656" w:type="dxa"/>
            <w:vAlign w:val="center"/>
          </w:tcPr>
          <w:p>
            <w:pPr>
              <w:spacing w:after="0"/>
              <w:jc w:val="center"/>
              <w:rPr>
                <w:rFonts w:hint="eastAsia" w:ascii="宋体" w:hAnsi="宋体" w:eastAsia="宋体" w:cs="宋体"/>
                <w:color w:val="auto"/>
                <w:sz w:val="21"/>
                <w:szCs w:val="21"/>
              </w:rPr>
            </w:pPr>
          </w:p>
        </w:tc>
        <w:tc>
          <w:tcPr>
            <w:tcW w:w="1305" w:type="dxa"/>
            <w:vAlign w:val="center"/>
          </w:tcPr>
          <w:p>
            <w:pPr>
              <w:spacing w:after="0"/>
              <w:jc w:val="center"/>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51" w:type="dxa"/>
            <w:vAlign w:val="center"/>
          </w:tcPr>
          <w:p>
            <w:pPr>
              <w:spacing w:after="0"/>
              <w:jc w:val="center"/>
              <w:rPr>
                <w:rFonts w:hint="eastAsia" w:ascii="宋体" w:hAnsi="宋体" w:eastAsia="宋体" w:cs="宋体"/>
                <w:color w:val="auto"/>
                <w:sz w:val="21"/>
                <w:szCs w:val="21"/>
              </w:rPr>
            </w:pPr>
          </w:p>
        </w:tc>
        <w:tc>
          <w:tcPr>
            <w:tcW w:w="1775" w:type="dxa"/>
            <w:vAlign w:val="center"/>
          </w:tcPr>
          <w:p>
            <w:pPr>
              <w:spacing w:after="0"/>
              <w:jc w:val="center"/>
              <w:rPr>
                <w:rFonts w:hint="eastAsia" w:ascii="宋体" w:hAnsi="宋体" w:eastAsia="宋体" w:cs="宋体"/>
                <w:color w:val="auto"/>
                <w:sz w:val="21"/>
                <w:szCs w:val="21"/>
              </w:rPr>
            </w:pPr>
          </w:p>
        </w:tc>
        <w:tc>
          <w:tcPr>
            <w:tcW w:w="1618" w:type="dxa"/>
            <w:vAlign w:val="center"/>
          </w:tcPr>
          <w:p>
            <w:pPr>
              <w:spacing w:after="0"/>
              <w:jc w:val="center"/>
              <w:rPr>
                <w:rFonts w:hint="eastAsia" w:ascii="宋体" w:hAnsi="宋体" w:eastAsia="宋体" w:cs="宋体"/>
                <w:color w:val="auto"/>
                <w:sz w:val="21"/>
                <w:szCs w:val="21"/>
              </w:rPr>
            </w:pPr>
          </w:p>
        </w:tc>
        <w:tc>
          <w:tcPr>
            <w:tcW w:w="1217" w:type="dxa"/>
            <w:vAlign w:val="center"/>
          </w:tcPr>
          <w:p>
            <w:pPr>
              <w:spacing w:after="0"/>
              <w:jc w:val="center"/>
              <w:rPr>
                <w:rFonts w:hint="eastAsia" w:ascii="宋体" w:hAnsi="宋体" w:eastAsia="宋体" w:cs="宋体"/>
                <w:color w:val="auto"/>
                <w:sz w:val="21"/>
                <w:szCs w:val="21"/>
              </w:rPr>
            </w:pPr>
          </w:p>
        </w:tc>
        <w:tc>
          <w:tcPr>
            <w:tcW w:w="1656" w:type="dxa"/>
            <w:vAlign w:val="center"/>
          </w:tcPr>
          <w:p>
            <w:pPr>
              <w:spacing w:after="0"/>
              <w:jc w:val="center"/>
              <w:rPr>
                <w:rFonts w:hint="eastAsia" w:ascii="宋体" w:hAnsi="宋体" w:eastAsia="宋体" w:cs="宋体"/>
                <w:color w:val="auto"/>
                <w:sz w:val="21"/>
                <w:szCs w:val="21"/>
              </w:rPr>
            </w:pPr>
          </w:p>
        </w:tc>
        <w:tc>
          <w:tcPr>
            <w:tcW w:w="1305" w:type="dxa"/>
            <w:vAlign w:val="center"/>
          </w:tcPr>
          <w:p>
            <w:pPr>
              <w:spacing w:after="0"/>
              <w:jc w:val="center"/>
              <w:rPr>
                <w:rFonts w:hint="eastAsia" w:ascii="宋体" w:hAnsi="宋体" w:eastAsia="宋体" w:cs="宋体"/>
                <w:color w:val="auto"/>
                <w:sz w:val="21"/>
                <w:szCs w:val="21"/>
              </w:rPr>
            </w:pPr>
          </w:p>
        </w:tc>
      </w:tr>
    </w:tbl>
    <w:p>
      <w:pPr>
        <w:spacing w:after="0"/>
        <w:rPr>
          <w:rFonts w:hint="eastAsia" w:ascii="宋体" w:hAnsi="宋体" w:eastAsia="宋体" w:cs="宋体"/>
          <w:color w:val="auto"/>
          <w:sz w:val="21"/>
          <w:szCs w:val="21"/>
        </w:rPr>
      </w:pPr>
    </w:p>
    <w:p>
      <w:pPr>
        <w:rPr>
          <w:rFonts w:hint="eastAsia" w:ascii="宋体" w:hAnsi="宋体" w:eastAsia="宋体" w:cs="宋体"/>
          <w:color w:val="auto"/>
          <w:sz w:val="21"/>
          <w:szCs w:val="21"/>
        </w:rPr>
      </w:pPr>
      <w:r>
        <w:rPr>
          <w:rFonts w:hint="eastAsia" w:ascii="宋体" w:hAnsi="宋体" w:eastAsia="宋体" w:cs="宋体"/>
          <w:color w:val="auto"/>
          <w:sz w:val="21"/>
          <w:szCs w:val="21"/>
        </w:rPr>
        <w:t>投标人代表签字：</w:t>
      </w:r>
    </w:p>
    <w:p>
      <w:pPr>
        <w:rPr>
          <w:rFonts w:hint="eastAsia" w:ascii="宋体" w:hAnsi="宋体" w:eastAsia="宋体" w:cs="宋体"/>
          <w:color w:val="auto"/>
          <w:sz w:val="21"/>
          <w:szCs w:val="21"/>
        </w:rPr>
      </w:pPr>
      <w:r>
        <w:rPr>
          <w:rFonts w:hint="eastAsia" w:ascii="宋体" w:hAnsi="宋体" w:eastAsia="宋体" w:cs="宋体"/>
          <w:color w:val="auto"/>
          <w:sz w:val="21"/>
          <w:szCs w:val="21"/>
        </w:rPr>
        <w:t>投标人盖章：</w:t>
      </w:r>
    </w:p>
    <w:p>
      <w:pPr>
        <w:rPr>
          <w:rFonts w:hint="eastAsia" w:ascii="宋体" w:hAnsi="宋体" w:eastAsia="宋体" w:cs="宋体"/>
          <w:color w:val="auto"/>
          <w:sz w:val="21"/>
          <w:szCs w:val="21"/>
        </w:rPr>
      </w:pPr>
    </w:p>
    <w:p>
      <w:pPr>
        <w:rPr>
          <w:rFonts w:hint="eastAsia" w:ascii="宋体" w:hAnsi="宋体" w:eastAsia="宋体" w:cs="宋体"/>
          <w:color w:val="auto"/>
          <w:sz w:val="21"/>
          <w:szCs w:val="21"/>
        </w:rPr>
      </w:pPr>
      <w:r>
        <w:rPr>
          <w:rFonts w:hint="eastAsia" w:ascii="宋体" w:hAnsi="宋体" w:eastAsia="宋体" w:cs="宋体"/>
          <w:color w:val="auto"/>
          <w:sz w:val="21"/>
          <w:szCs w:val="21"/>
        </w:rPr>
        <w:t>注：</w:t>
      </w:r>
    </w:p>
    <w:p>
      <w:pPr>
        <w:pStyle w:val="23"/>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1、投标人可按项目的实际需要提供本表格。</w:t>
      </w:r>
    </w:p>
    <w:p>
      <w:pPr>
        <w:pStyle w:val="23"/>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2、该表格为参考格式，投标人可按实际情况自行制订。</w:t>
      </w:r>
    </w:p>
    <w:p>
      <w:pPr>
        <w:pStyle w:val="23"/>
        <w:ind w:firstLine="0" w:firstLineChars="0"/>
        <w:rPr>
          <w:rFonts w:hint="eastAsia" w:ascii="宋体" w:hAnsi="宋体" w:eastAsia="宋体" w:cs="宋体"/>
          <w:color w:val="auto"/>
          <w:sz w:val="21"/>
          <w:szCs w:val="21"/>
        </w:rPr>
      </w:pPr>
      <w:r>
        <w:rPr>
          <w:rFonts w:hint="eastAsia" w:ascii="宋体" w:hAnsi="宋体" w:eastAsia="宋体" w:cs="宋体"/>
          <w:b/>
          <w:bCs/>
          <w:color w:val="auto"/>
          <w:sz w:val="21"/>
          <w:szCs w:val="21"/>
          <w:lang w:val="en-US" w:eastAsia="zh-CN"/>
        </w:rPr>
        <w:t>3、如本项目不涉及此表内容，则无需提供此表。</w:t>
      </w:r>
      <w:r>
        <w:rPr>
          <w:rFonts w:hint="eastAsia" w:ascii="宋体" w:hAnsi="宋体" w:eastAsia="宋体" w:cs="宋体"/>
          <w:color w:val="auto"/>
          <w:sz w:val="21"/>
          <w:szCs w:val="21"/>
        </w:rPr>
        <w:br w:type="page"/>
      </w:r>
    </w:p>
    <w:p>
      <w:pPr>
        <w:pStyle w:val="5"/>
        <w:widowControl w:val="0"/>
        <w:overflowPunct w:val="0"/>
        <w:spacing w:before="0" w:after="0" w:line="240" w:lineRule="auto"/>
        <w:rPr>
          <w:rFonts w:hint="eastAsia" w:ascii="宋体" w:hAnsi="宋体" w:eastAsia="宋体" w:cs="宋体"/>
          <w:color w:val="auto"/>
          <w:sz w:val="24"/>
        </w:rPr>
      </w:pPr>
      <w:bookmarkStart w:id="153" w:name="_Toc13438"/>
      <w:r>
        <w:rPr>
          <w:rFonts w:hint="eastAsia" w:ascii="宋体" w:hAnsi="宋体" w:eastAsia="宋体" w:cs="宋体"/>
          <w:color w:val="auto"/>
          <w:sz w:val="21"/>
          <w:szCs w:val="21"/>
        </w:rPr>
        <w:t>附件17.在经营活动中没有重大违法记录的书面声明格式</w:t>
      </w:r>
      <w:bookmarkEnd w:id="153"/>
    </w:p>
    <w:p>
      <w:pPr>
        <w:rPr>
          <w:rFonts w:hint="eastAsia" w:ascii="宋体" w:hAnsi="宋体" w:eastAsia="宋体" w:cs="宋体"/>
          <w:color w:val="auto"/>
        </w:rPr>
      </w:pPr>
    </w:p>
    <w:p>
      <w:pPr>
        <w:jc w:val="center"/>
        <w:rPr>
          <w:rFonts w:hint="eastAsia" w:ascii="宋体" w:hAnsi="宋体" w:eastAsia="宋体" w:cs="宋体"/>
          <w:color w:val="auto"/>
          <w:sz w:val="28"/>
          <w:szCs w:val="28"/>
        </w:rPr>
      </w:pPr>
      <w:r>
        <w:rPr>
          <w:rFonts w:hint="eastAsia" w:ascii="宋体" w:hAnsi="宋体" w:eastAsia="宋体" w:cs="宋体"/>
          <w:color w:val="auto"/>
          <w:sz w:val="28"/>
          <w:szCs w:val="28"/>
        </w:rPr>
        <w:t>投标人在</w:t>
      </w:r>
      <w:r>
        <w:rPr>
          <w:rFonts w:hint="eastAsia" w:ascii="宋体" w:hAnsi="宋体" w:eastAsia="宋体" w:cs="宋体"/>
          <w:color w:val="auto"/>
          <w:sz w:val="28"/>
          <w:szCs w:val="28"/>
          <w:lang w:eastAsia="zh-CN"/>
        </w:rPr>
        <w:t>经营活动中前三年内</w:t>
      </w:r>
      <w:r>
        <w:rPr>
          <w:rFonts w:hint="eastAsia" w:ascii="宋体" w:hAnsi="宋体" w:eastAsia="宋体" w:cs="宋体"/>
          <w:color w:val="auto"/>
          <w:sz w:val="28"/>
          <w:szCs w:val="28"/>
        </w:rPr>
        <w:t>未有重大违法记录、没有不良信用记录的声明函</w:t>
      </w:r>
    </w:p>
    <w:p>
      <w:pPr>
        <w:spacing w:after="0" w:line="360" w:lineRule="auto"/>
        <w:ind w:firstLine="420" w:firstLineChars="200"/>
        <w:rPr>
          <w:rFonts w:hint="eastAsia" w:ascii="宋体" w:hAnsi="宋体" w:eastAsia="宋体" w:cs="宋体"/>
          <w:color w:val="auto"/>
          <w:sz w:val="21"/>
          <w:szCs w:val="21"/>
        </w:rPr>
      </w:pPr>
    </w:p>
    <w:p>
      <w:pPr>
        <w:spacing w:after="0" w:line="48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三方诚信招标有限公司</w:t>
      </w:r>
      <w:r>
        <w:rPr>
          <w:rFonts w:hint="eastAsia" w:ascii="宋体" w:hAnsi="宋体" w:eastAsia="宋体" w:cs="宋体"/>
          <w:color w:val="auto"/>
          <w:sz w:val="21"/>
          <w:szCs w:val="21"/>
        </w:rPr>
        <w:t>东莞分公司：</w:t>
      </w:r>
    </w:p>
    <w:p>
      <w:pPr>
        <w:spacing w:after="0" w:line="48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我公司郑重承诺：在参加“</w:t>
      </w:r>
      <w:r>
        <w:rPr>
          <w:rFonts w:hint="eastAsia" w:ascii="宋体" w:hAnsi="宋体" w:eastAsia="宋体" w:cs="宋体"/>
          <w:color w:val="auto"/>
          <w:sz w:val="21"/>
          <w:szCs w:val="21"/>
          <w:u w:val="single"/>
        </w:rPr>
        <w:t xml:space="preserve">       （采购项目名称）</w:t>
      </w:r>
      <w:r>
        <w:rPr>
          <w:rFonts w:hint="eastAsia" w:ascii="宋体" w:hAnsi="宋体" w:eastAsia="宋体" w:cs="宋体"/>
          <w:color w:val="auto"/>
          <w:sz w:val="21"/>
          <w:szCs w:val="21"/>
        </w:rPr>
        <w:t>” （项目编号: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采购活动前三年内（设立不满三年的从设立之日计算），在经营活动中没有重大违法记录；至本项目提交投标文件截止时间止未被列入“信用中国”网站及“中国政府采购网”失信被执行人、重大税收违法案件当事人名单、政府采购严重违法失信行为记录名单。</w:t>
      </w:r>
    </w:p>
    <w:p>
      <w:pPr>
        <w:spacing w:after="0" w:line="48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我公司以上承诺均为真实有效，绝无任何虚假、伪造的成份，否则，愿承担相应的后果和法律责任。</w:t>
      </w:r>
    </w:p>
    <w:p>
      <w:pPr>
        <w:spacing w:after="0" w:line="360" w:lineRule="auto"/>
        <w:ind w:firstLine="420" w:firstLineChars="200"/>
        <w:rPr>
          <w:rFonts w:hint="eastAsia" w:ascii="宋体" w:hAnsi="宋体" w:eastAsia="宋体" w:cs="宋体"/>
          <w:color w:val="auto"/>
          <w:sz w:val="21"/>
          <w:szCs w:val="21"/>
        </w:rPr>
      </w:pPr>
    </w:p>
    <w:p>
      <w:pPr>
        <w:spacing w:after="0" w:line="360" w:lineRule="auto"/>
        <w:rPr>
          <w:rFonts w:hint="eastAsia" w:ascii="宋体" w:hAnsi="宋体" w:eastAsia="宋体" w:cs="宋体"/>
          <w:color w:val="auto"/>
          <w:sz w:val="21"/>
          <w:szCs w:val="21"/>
        </w:rPr>
      </w:pPr>
    </w:p>
    <w:p>
      <w:pPr>
        <w:spacing w:after="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投标人名称（盖章）：</w:t>
      </w:r>
    </w:p>
    <w:p>
      <w:pPr>
        <w:spacing w:after="0" w:line="360" w:lineRule="auto"/>
        <w:rPr>
          <w:rFonts w:hint="eastAsia" w:ascii="宋体" w:hAnsi="宋体" w:eastAsia="宋体" w:cs="宋体"/>
          <w:color w:val="auto"/>
          <w:sz w:val="21"/>
          <w:szCs w:val="21"/>
        </w:rPr>
      </w:pPr>
    </w:p>
    <w:p>
      <w:pPr>
        <w:spacing w:after="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日期：</w:t>
      </w:r>
    </w:p>
    <w:p>
      <w:pPr>
        <w:adjustRightInd/>
        <w:snapToGrid/>
        <w:spacing w:line="276" w:lineRule="auto"/>
        <w:rPr>
          <w:rFonts w:hint="eastAsia" w:ascii="宋体" w:hAnsi="宋体" w:eastAsia="宋体" w:cs="宋体"/>
          <w:b/>
          <w:bCs/>
          <w:color w:val="auto"/>
          <w:sz w:val="24"/>
          <w:szCs w:val="28"/>
        </w:rPr>
      </w:pPr>
      <w:bookmarkStart w:id="154" w:name="_Toc417907703"/>
      <w:r>
        <w:rPr>
          <w:rFonts w:hint="eastAsia" w:ascii="宋体" w:hAnsi="宋体" w:eastAsia="宋体" w:cs="宋体"/>
          <w:color w:val="auto"/>
          <w:sz w:val="24"/>
        </w:rPr>
        <w:br w:type="page"/>
      </w:r>
    </w:p>
    <w:p>
      <w:pPr>
        <w:pStyle w:val="5"/>
        <w:widowControl w:val="0"/>
        <w:overflowPunct w:val="0"/>
        <w:spacing w:before="0" w:after="0" w:line="240" w:lineRule="auto"/>
        <w:rPr>
          <w:rFonts w:hint="eastAsia" w:ascii="宋体" w:hAnsi="宋体" w:eastAsia="宋体" w:cs="宋体"/>
          <w:color w:val="auto"/>
        </w:rPr>
      </w:pPr>
      <w:bookmarkStart w:id="155" w:name="_Toc26259"/>
      <w:r>
        <w:rPr>
          <w:rFonts w:hint="eastAsia" w:ascii="宋体" w:hAnsi="宋体" w:eastAsia="宋体" w:cs="宋体"/>
          <w:color w:val="auto"/>
          <w:sz w:val="21"/>
          <w:szCs w:val="21"/>
        </w:rPr>
        <w:t>附件18. 中小企业声明函（投标人为中小企业时适用）</w:t>
      </w:r>
      <w:bookmarkEnd w:id="154"/>
      <w:bookmarkEnd w:id="155"/>
    </w:p>
    <w:p>
      <w:pPr>
        <w:jc w:val="center"/>
        <w:rPr>
          <w:rFonts w:hint="eastAsia" w:ascii="宋体" w:hAnsi="宋体" w:eastAsia="宋体" w:cs="宋体"/>
          <w:b/>
          <w:color w:val="auto"/>
          <w:sz w:val="28"/>
          <w:szCs w:val="28"/>
        </w:rPr>
      </w:pPr>
    </w:p>
    <w:p>
      <w:pPr>
        <w:jc w:val="center"/>
        <w:rPr>
          <w:rFonts w:hint="eastAsia" w:ascii="宋体" w:hAnsi="宋体" w:eastAsia="宋体" w:cs="宋体"/>
          <w:color w:val="auto"/>
          <w:sz w:val="28"/>
          <w:szCs w:val="28"/>
        </w:rPr>
      </w:pPr>
      <w:r>
        <w:rPr>
          <w:rFonts w:hint="eastAsia" w:ascii="宋体" w:hAnsi="宋体" w:eastAsia="宋体" w:cs="宋体"/>
          <w:color w:val="auto"/>
          <w:sz w:val="28"/>
          <w:szCs w:val="28"/>
        </w:rPr>
        <w:t>中小企业声明函</w:t>
      </w:r>
    </w:p>
    <w:p>
      <w:pPr>
        <w:spacing w:after="0" w:line="48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本公司郑重声明，根据《政府采购促进中小企业发展暂行办法》（财库[2011]181号）的规定，本公司为</w:t>
      </w:r>
      <w:r>
        <w:rPr>
          <w:rFonts w:hint="eastAsia" w:ascii="宋体" w:hAnsi="宋体" w:eastAsia="宋体" w:cs="宋体"/>
          <w:color w:val="auto"/>
          <w:sz w:val="21"/>
          <w:szCs w:val="21"/>
          <w:u w:val="single"/>
        </w:rPr>
        <w:t>　（请填写：中型、小型、微型）　</w:t>
      </w:r>
      <w:r>
        <w:rPr>
          <w:rFonts w:hint="eastAsia" w:ascii="宋体" w:hAnsi="宋体" w:eastAsia="宋体" w:cs="宋体"/>
          <w:color w:val="auto"/>
          <w:sz w:val="21"/>
          <w:szCs w:val="21"/>
        </w:rPr>
        <w:t>企业。即，本公司同时满足以下条件：</w:t>
      </w:r>
    </w:p>
    <w:p>
      <w:pPr>
        <w:spacing w:after="0" w:line="48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1、根据《工业和信息化部、国家统计局、国家发展和改革委员会、财政部关于印发中小企业划型标准规定的通知》（工信部联企业[2011]300号）规定的划分标准，本公司为</w:t>
      </w:r>
      <w:r>
        <w:rPr>
          <w:rFonts w:hint="eastAsia" w:ascii="宋体" w:hAnsi="宋体" w:eastAsia="宋体" w:cs="宋体"/>
          <w:color w:val="auto"/>
          <w:sz w:val="21"/>
          <w:szCs w:val="21"/>
          <w:u w:val="single"/>
        </w:rPr>
        <w:t>　（请填写：中型、小型、微型）　</w:t>
      </w:r>
      <w:r>
        <w:rPr>
          <w:rFonts w:hint="eastAsia" w:ascii="宋体" w:hAnsi="宋体" w:eastAsia="宋体" w:cs="宋体"/>
          <w:color w:val="auto"/>
          <w:sz w:val="21"/>
          <w:szCs w:val="21"/>
        </w:rPr>
        <w:t>企业。</w:t>
      </w:r>
    </w:p>
    <w:p>
      <w:pPr>
        <w:spacing w:after="0" w:line="48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2、本公司参加</w:t>
      </w:r>
      <w:r>
        <w:rPr>
          <w:rFonts w:hint="eastAsia" w:ascii="宋体" w:hAnsi="宋体" w:eastAsia="宋体" w:cs="宋体"/>
          <w:color w:val="auto"/>
          <w:sz w:val="21"/>
          <w:szCs w:val="21"/>
          <w:u w:val="single"/>
        </w:rPr>
        <w:t>　　（采购人）　　</w:t>
      </w:r>
      <w:r>
        <w:rPr>
          <w:rFonts w:hint="eastAsia" w:ascii="宋体" w:hAnsi="宋体" w:eastAsia="宋体" w:cs="宋体"/>
          <w:color w:val="auto"/>
          <w:sz w:val="21"/>
          <w:szCs w:val="21"/>
        </w:rPr>
        <w:t>的</w:t>
      </w:r>
      <w:r>
        <w:rPr>
          <w:rFonts w:hint="eastAsia" w:ascii="宋体" w:hAnsi="宋体" w:eastAsia="宋体" w:cs="宋体"/>
          <w:color w:val="auto"/>
          <w:sz w:val="21"/>
          <w:szCs w:val="21"/>
          <w:u w:val="single"/>
        </w:rPr>
        <w:t>　　（采购项目）　　</w:t>
      </w:r>
      <w:r>
        <w:rPr>
          <w:rFonts w:hint="eastAsia" w:ascii="宋体" w:hAnsi="宋体" w:eastAsia="宋体" w:cs="宋体"/>
          <w:color w:val="auto"/>
          <w:sz w:val="21"/>
          <w:szCs w:val="21"/>
        </w:rPr>
        <w:t>采购活动提供本企业制造的货物，由本企业承担工程、提供服务，或者提供其他</w:t>
      </w:r>
      <w:r>
        <w:rPr>
          <w:rFonts w:hint="eastAsia" w:ascii="宋体" w:hAnsi="宋体" w:eastAsia="宋体" w:cs="宋体"/>
          <w:color w:val="auto"/>
          <w:sz w:val="21"/>
          <w:szCs w:val="21"/>
          <w:u w:val="single"/>
        </w:rPr>
        <w:t>　（请填写：中型、小型、微型）　</w:t>
      </w:r>
      <w:r>
        <w:rPr>
          <w:rFonts w:hint="eastAsia" w:ascii="宋体" w:hAnsi="宋体" w:eastAsia="宋体" w:cs="宋体"/>
          <w:color w:val="auto"/>
          <w:sz w:val="21"/>
          <w:szCs w:val="21"/>
        </w:rPr>
        <w:t>企业制造的货物。本条所称货物不包括使用大型企业注册商标的货物。</w:t>
      </w:r>
    </w:p>
    <w:p>
      <w:pPr>
        <w:spacing w:after="0" w:line="48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本公司对上述声明的真实性负责。如有虚假，将依法承担相应责任。</w:t>
      </w:r>
    </w:p>
    <w:p>
      <w:pPr>
        <w:spacing w:after="0" w:line="480" w:lineRule="auto"/>
        <w:jc w:val="right"/>
        <w:rPr>
          <w:rFonts w:hint="eastAsia" w:ascii="宋体" w:hAnsi="宋体" w:eastAsia="宋体" w:cs="宋体"/>
          <w:color w:val="auto"/>
          <w:sz w:val="21"/>
          <w:szCs w:val="21"/>
        </w:rPr>
      </w:pPr>
      <w:r>
        <w:rPr>
          <w:rFonts w:hint="eastAsia" w:ascii="宋体" w:hAnsi="宋体" w:eastAsia="宋体" w:cs="宋体"/>
          <w:color w:val="auto"/>
          <w:sz w:val="21"/>
          <w:szCs w:val="21"/>
        </w:rPr>
        <w:t>投标人名称（加盖公章）：</w:t>
      </w:r>
    </w:p>
    <w:p>
      <w:pPr>
        <w:spacing w:after="0" w:line="480" w:lineRule="auto"/>
        <w:jc w:val="right"/>
        <w:rPr>
          <w:rFonts w:hint="eastAsia" w:ascii="宋体" w:hAnsi="宋体" w:eastAsia="宋体" w:cs="宋体"/>
          <w:color w:val="auto"/>
          <w:sz w:val="21"/>
          <w:szCs w:val="21"/>
        </w:rPr>
      </w:pPr>
      <w:r>
        <w:rPr>
          <w:rFonts w:hint="eastAsia" w:ascii="宋体" w:hAnsi="宋体" w:eastAsia="宋体" w:cs="宋体"/>
          <w:color w:val="auto"/>
          <w:sz w:val="21"/>
          <w:szCs w:val="21"/>
        </w:rPr>
        <w:t>日      期：</w:t>
      </w:r>
    </w:p>
    <w:p>
      <w:pPr>
        <w:rPr>
          <w:rFonts w:hint="eastAsia" w:ascii="宋体" w:hAnsi="宋体" w:eastAsia="宋体" w:cs="宋体"/>
          <w:color w:val="auto"/>
          <w:sz w:val="21"/>
          <w:szCs w:val="21"/>
        </w:rPr>
      </w:pPr>
      <w:r>
        <w:rPr>
          <w:rFonts w:hint="eastAsia" w:ascii="宋体" w:hAnsi="宋体" w:eastAsia="宋体" w:cs="宋体"/>
          <w:color w:val="auto"/>
          <w:sz w:val="21"/>
          <w:szCs w:val="21"/>
        </w:rPr>
        <w:t>注：</w:t>
      </w:r>
    </w:p>
    <w:p>
      <w:pPr>
        <w:spacing w:after="0" w:line="48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投标人应根据《关于印发中小企业划型标准规定的通知》（工信部联企业[2011]300号）的有关规定如实填写此表。（监狱企业视同小型、微型企业，监狱企业参加政府采购活动时，应当提供由省级以上监狱管理局、戒毒管理局(含新疆生产建设兵团)出具的属于监狱企业的证明文件）</w:t>
      </w:r>
    </w:p>
    <w:p>
      <w:pPr>
        <w:spacing w:after="0" w:line="48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2、若投标人不属于规定的中小企业范围，或提供的产品不是中小企业制造的，请勿提交。</w:t>
      </w:r>
    </w:p>
    <w:p>
      <w:pPr>
        <w:spacing w:after="0" w:line="480" w:lineRule="auto"/>
        <w:ind w:firstLine="420" w:firstLineChars="200"/>
        <w:rPr>
          <w:rFonts w:hint="eastAsia" w:ascii="宋体" w:hAnsi="宋体" w:eastAsia="宋体" w:cs="宋体"/>
          <w:color w:val="auto"/>
          <w:sz w:val="24"/>
        </w:rPr>
      </w:pPr>
      <w:r>
        <w:rPr>
          <w:rFonts w:hint="eastAsia" w:ascii="宋体" w:hAnsi="宋体" w:eastAsia="宋体" w:cs="宋体"/>
          <w:color w:val="auto"/>
          <w:sz w:val="21"/>
          <w:szCs w:val="21"/>
        </w:rPr>
        <w:t>3、投标人应该在《报价明细表》中单独列明属于小型和微型企业产品（货物、承担的工程或者服务）的报价，若投标人只提供《中小企业声明函》但未列明小型或微型企业产品的，在计算价格得分时不予以相应的扣除。</w:t>
      </w:r>
    </w:p>
    <w:p>
      <w:pPr>
        <w:rPr>
          <w:rFonts w:hint="eastAsia" w:ascii="宋体" w:hAnsi="宋体" w:eastAsia="宋体" w:cs="宋体"/>
          <w:color w:val="auto"/>
          <w:sz w:val="24"/>
        </w:rPr>
      </w:pPr>
    </w:p>
    <w:p>
      <w:pPr>
        <w:adjustRightInd/>
        <w:snapToGrid/>
        <w:spacing w:line="276" w:lineRule="auto"/>
        <w:rPr>
          <w:rFonts w:hint="eastAsia" w:ascii="宋体" w:hAnsi="宋体" w:eastAsia="宋体" w:cs="宋体"/>
          <w:b/>
          <w:bCs/>
          <w:color w:val="auto"/>
          <w:sz w:val="24"/>
          <w:szCs w:val="28"/>
        </w:rPr>
      </w:pPr>
      <w:r>
        <w:rPr>
          <w:rFonts w:hint="eastAsia" w:ascii="宋体" w:hAnsi="宋体" w:eastAsia="宋体" w:cs="宋体"/>
          <w:color w:val="auto"/>
          <w:sz w:val="24"/>
        </w:rPr>
        <w:br w:type="page"/>
      </w:r>
    </w:p>
    <w:p>
      <w:pPr>
        <w:pStyle w:val="5"/>
        <w:widowControl w:val="0"/>
        <w:overflowPunct w:val="0"/>
        <w:spacing w:before="0" w:after="0" w:line="240" w:lineRule="auto"/>
        <w:rPr>
          <w:rFonts w:hint="eastAsia" w:ascii="宋体" w:hAnsi="宋体" w:eastAsia="宋体" w:cs="宋体"/>
          <w:color w:val="auto"/>
          <w:sz w:val="24"/>
        </w:rPr>
      </w:pPr>
      <w:bookmarkStart w:id="156" w:name="_Toc11132"/>
      <w:r>
        <w:rPr>
          <w:rFonts w:hint="eastAsia" w:ascii="宋体" w:hAnsi="宋体" w:eastAsia="宋体" w:cs="宋体"/>
          <w:color w:val="auto"/>
          <w:sz w:val="21"/>
          <w:szCs w:val="21"/>
        </w:rPr>
        <w:t>附件19.《残疾人福利性单位声明函》（残疾人福利性单位适用）</w:t>
      </w:r>
      <w:bookmarkEnd w:id="156"/>
    </w:p>
    <w:p>
      <w:pPr>
        <w:jc w:val="center"/>
        <w:rPr>
          <w:rFonts w:hint="eastAsia" w:ascii="宋体" w:hAnsi="宋体" w:eastAsia="宋体" w:cs="宋体"/>
          <w:color w:val="auto"/>
        </w:rPr>
      </w:pPr>
    </w:p>
    <w:p>
      <w:pPr>
        <w:jc w:val="center"/>
        <w:rPr>
          <w:rFonts w:hint="eastAsia" w:ascii="宋体" w:hAnsi="宋体" w:eastAsia="宋体" w:cs="宋体"/>
          <w:color w:val="auto"/>
          <w:sz w:val="28"/>
          <w:szCs w:val="28"/>
        </w:rPr>
      </w:pPr>
      <w:r>
        <w:rPr>
          <w:rFonts w:hint="eastAsia" w:ascii="宋体" w:hAnsi="宋体" w:eastAsia="宋体" w:cs="宋体"/>
          <w:color w:val="auto"/>
          <w:sz w:val="28"/>
          <w:szCs w:val="28"/>
        </w:rPr>
        <w:t>残疾人福利性单位声明函</w:t>
      </w:r>
    </w:p>
    <w:p>
      <w:pPr>
        <w:spacing w:after="0" w:line="48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after="0" w:line="48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本单位对上述声明的真实性负责。如有虚假，将依法承担相应责任。</w:t>
      </w:r>
    </w:p>
    <w:p>
      <w:pPr>
        <w:spacing w:after="0" w:line="480" w:lineRule="auto"/>
        <w:jc w:val="right"/>
        <w:rPr>
          <w:rFonts w:hint="eastAsia" w:ascii="宋体" w:hAnsi="宋体" w:eastAsia="宋体" w:cs="宋体"/>
          <w:color w:val="auto"/>
          <w:sz w:val="21"/>
          <w:szCs w:val="21"/>
        </w:rPr>
      </w:pPr>
    </w:p>
    <w:p>
      <w:pPr>
        <w:spacing w:after="0" w:line="480" w:lineRule="auto"/>
        <w:jc w:val="right"/>
        <w:rPr>
          <w:rFonts w:hint="eastAsia" w:ascii="宋体" w:hAnsi="宋体" w:eastAsia="宋体" w:cs="宋体"/>
          <w:color w:val="auto"/>
          <w:sz w:val="21"/>
          <w:szCs w:val="21"/>
        </w:rPr>
      </w:pPr>
      <w:r>
        <w:rPr>
          <w:rFonts w:hint="eastAsia" w:ascii="宋体" w:hAnsi="宋体" w:eastAsia="宋体" w:cs="宋体"/>
          <w:color w:val="auto"/>
          <w:sz w:val="21"/>
          <w:szCs w:val="21"/>
        </w:rPr>
        <w:t>单位名称（盖章）：</w:t>
      </w:r>
      <w:bookmarkStart w:id="157" w:name="_Toc509927455"/>
      <w:bookmarkStart w:id="158" w:name="_Toc30247"/>
      <w:bookmarkStart w:id="159" w:name="_Toc508898066"/>
      <w:bookmarkStart w:id="160" w:name="_Toc508960153"/>
      <w:bookmarkStart w:id="161" w:name="_Toc30277"/>
      <w:bookmarkStart w:id="162" w:name="_Toc509479530"/>
      <w:bookmarkStart w:id="163" w:name="_Toc22970"/>
      <w:bookmarkStart w:id="164" w:name="_Toc17761"/>
      <w:bookmarkStart w:id="165" w:name="_Toc510171693"/>
      <w:bookmarkStart w:id="166" w:name="_Toc508958703"/>
      <w:bookmarkStart w:id="167" w:name="_Toc509844825"/>
      <w:bookmarkStart w:id="168" w:name="_Toc20910"/>
    </w:p>
    <w:p>
      <w:pPr>
        <w:spacing w:after="0" w:line="480" w:lineRule="auto"/>
        <w:jc w:val="right"/>
        <w:rPr>
          <w:rFonts w:hint="eastAsia" w:ascii="宋体" w:hAnsi="宋体" w:eastAsia="宋体" w:cs="宋体"/>
          <w:color w:val="auto"/>
          <w:sz w:val="21"/>
          <w:szCs w:val="21"/>
        </w:rPr>
      </w:pPr>
    </w:p>
    <w:p>
      <w:pPr>
        <w:spacing w:after="0" w:line="480" w:lineRule="auto"/>
        <w:jc w:val="right"/>
        <w:rPr>
          <w:rFonts w:hint="eastAsia" w:ascii="宋体" w:hAnsi="宋体" w:eastAsia="宋体" w:cs="宋体"/>
          <w:color w:val="auto"/>
          <w:sz w:val="21"/>
          <w:szCs w:val="21"/>
        </w:rPr>
      </w:pPr>
      <w:r>
        <w:rPr>
          <w:rFonts w:hint="eastAsia" w:ascii="宋体" w:hAnsi="宋体" w:eastAsia="宋体" w:cs="宋体"/>
          <w:color w:val="auto"/>
          <w:sz w:val="21"/>
          <w:szCs w:val="21"/>
        </w:rPr>
        <w:t>日  期：</w:t>
      </w:r>
      <w:bookmarkEnd w:id="157"/>
      <w:bookmarkEnd w:id="158"/>
      <w:bookmarkEnd w:id="159"/>
      <w:bookmarkEnd w:id="160"/>
      <w:bookmarkEnd w:id="161"/>
      <w:bookmarkEnd w:id="162"/>
      <w:bookmarkEnd w:id="163"/>
      <w:bookmarkEnd w:id="164"/>
      <w:bookmarkEnd w:id="165"/>
      <w:bookmarkEnd w:id="166"/>
      <w:bookmarkEnd w:id="167"/>
      <w:bookmarkEnd w:id="168"/>
    </w:p>
    <w:p>
      <w:pPr>
        <w:pStyle w:val="2"/>
        <w:rPr>
          <w:rFonts w:hint="eastAsia" w:ascii="宋体" w:hAnsi="宋体" w:eastAsia="宋体" w:cs="宋体"/>
          <w:color w:val="auto"/>
        </w:rPr>
      </w:pPr>
    </w:p>
    <w:p>
      <w:pPr>
        <w:spacing w:after="0" w:line="480" w:lineRule="auto"/>
        <w:ind w:firstLine="420" w:firstLineChars="200"/>
        <w:rPr>
          <w:rFonts w:hint="eastAsia" w:ascii="宋体" w:hAnsi="宋体" w:eastAsia="宋体" w:cs="宋体"/>
          <w:color w:val="auto"/>
          <w:sz w:val="21"/>
          <w:szCs w:val="21"/>
        </w:rPr>
      </w:pPr>
      <w:bookmarkStart w:id="169" w:name="_Toc26216"/>
      <w:bookmarkStart w:id="170" w:name="_Toc508960154"/>
      <w:bookmarkStart w:id="171" w:name="_Toc28527"/>
      <w:bookmarkStart w:id="172" w:name="_Toc510171694"/>
      <w:bookmarkStart w:id="173" w:name="_Toc508958704"/>
      <w:bookmarkStart w:id="174" w:name="_Toc509844826"/>
      <w:bookmarkStart w:id="175" w:name="_Toc31520"/>
      <w:bookmarkStart w:id="176" w:name="_Toc509479531"/>
      <w:bookmarkStart w:id="177" w:name="_Toc508898067"/>
      <w:bookmarkStart w:id="178" w:name="_Toc5447"/>
      <w:bookmarkStart w:id="179" w:name="_Toc509927456"/>
      <w:bookmarkStart w:id="180" w:name="_Toc21053"/>
      <w:r>
        <w:rPr>
          <w:rFonts w:hint="eastAsia" w:ascii="宋体" w:hAnsi="宋体" w:eastAsia="宋体" w:cs="宋体"/>
          <w:color w:val="auto"/>
          <w:sz w:val="21"/>
          <w:szCs w:val="21"/>
        </w:rPr>
        <w:t>注：（1）符合《财政部 民政部 中国残疾人联合会关于促进残疾人就业政府采购政策的通知》（财库〔2017〕 141号）规定条件的残疾人福利性单位应当提供《残疾人福利性单位声明函》。</w:t>
      </w:r>
      <w:bookmarkEnd w:id="169"/>
      <w:bookmarkEnd w:id="170"/>
      <w:bookmarkEnd w:id="171"/>
      <w:bookmarkEnd w:id="172"/>
      <w:bookmarkEnd w:id="173"/>
      <w:bookmarkEnd w:id="174"/>
      <w:bookmarkEnd w:id="175"/>
      <w:bookmarkEnd w:id="176"/>
      <w:bookmarkEnd w:id="177"/>
      <w:bookmarkEnd w:id="178"/>
      <w:bookmarkEnd w:id="179"/>
      <w:bookmarkEnd w:id="180"/>
    </w:p>
    <w:p>
      <w:pPr>
        <w:spacing w:after="0" w:line="480" w:lineRule="auto"/>
        <w:ind w:firstLine="420" w:firstLineChars="200"/>
        <w:rPr>
          <w:rFonts w:hint="eastAsia" w:ascii="宋体" w:hAnsi="宋体" w:eastAsia="宋体" w:cs="宋体"/>
          <w:color w:val="auto"/>
          <w:sz w:val="21"/>
          <w:szCs w:val="21"/>
        </w:rPr>
      </w:pPr>
      <w:bookmarkStart w:id="181" w:name="_Toc28126"/>
      <w:bookmarkStart w:id="182" w:name="_Toc508958705"/>
      <w:bookmarkStart w:id="183" w:name="_Toc28626"/>
      <w:bookmarkStart w:id="184" w:name="_Toc508960155"/>
      <w:bookmarkStart w:id="185" w:name="_Toc24848"/>
      <w:bookmarkStart w:id="186" w:name="_Toc9148"/>
      <w:bookmarkStart w:id="187" w:name="_Toc510171695"/>
      <w:bookmarkStart w:id="188" w:name="_Toc14653"/>
      <w:bookmarkStart w:id="189" w:name="_Toc509479532"/>
      <w:bookmarkStart w:id="190" w:name="_Toc508898068"/>
      <w:bookmarkStart w:id="191" w:name="_Toc509844827"/>
      <w:bookmarkStart w:id="192" w:name="_Toc509927457"/>
      <w:r>
        <w:rPr>
          <w:rFonts w:hint="eastAsia" w:ascii="宋体" w:hAnsi="宋体" w:eastAsia="宋体" w:cs="宋体"/>
          <w:color w:val="auto"/>
          <w:sz w:val="21"/>
          <w:szCs w:val="21"/>
        </w:rPr>
        <w:t>（2）中标人为残疾人福利性单位的，采购代理机构将随中标结果同时公告其《残疾人福利性单位声明函》，接受社会监督。</w:t>
      </w:r>
      <w:bookmarkEnd w:id="181"/>
      <w:bookmarkEnd w:id="182"/>
      <w:bookmarkEnd w:id="183"/>
      <w:bookmarkEnd w:id="184"/>
      <w:bookmarkEnd w:id="185"/>
      <w:bookmarkEnd w:id="186"/>
      <w:bookmarkEnd w:id="187"/>
      <w:bookmarkEnd w:id="188"/>
      <w:bookmarkEnd w:id="189"/>
      <w:bookmarkEnd w:id="190"/>
      <w:bookmarkEnd w:id="191"/>
      <w:bookmarkEnd w:id="192"/>
    </w:p>
    <w:p>
      <w:pPr>
        <w:spacing w:after="0" w:line="480" w:lineRule="auto"/>
        <w:ind w:firstLine="420" w:firstLineChars="200"/>
        <w:rPr>
          <w:rFonts w:hint="eastAsia" w:ascii="宋体" w:hAnsi="宋体" w:eastAsia="宋体" w:cs="宋体"/>
          <w:color w:val="auto"/>
          <w:sz w:val="21"/>
          <w:szCs w:val="21"/>
        </w:rPr>
      </w:pPr>
      <w:bookmarkStart w:id="193" w:name="_Toc22981"/>
      <w:bookmarkStart w:id="194" w:name="_Toc509927458"/>
      <w:bookmarkStart w:id="195" w:name="_Toc508958706"/>
      <w:bookmarkStart w:id="196" w:name="_Toc7858"/>
      <w:bookmarkStart w:id="197" w:name="_Toc28686"/>
      <w:bookmarkStart w:id="198" w:name="_Toc508898069"/>
      <w:bookmarkStart w:id="199" w:name="_Toc508960156"/>
      <w:bookmarkStart w:id="200" w:name="_Toc509844828"/>
      <w:bookmarkStart w:id="201" w:name="_Toc509479533"/>
      <w:bookmarkStart w:id="202" w:name="_Toc28044"/>
      <w:bookmarkStart w:id="203" w:name="_Toc510171696"/>
      <w:bookmarkStart w:id="204" w:name="_Toc9837"/>
      <w:r>
        <w:rPr>
          <w:rFonts w:hint="eastAsia" w:ascii="宋体" w:hAnsi="宋体" w:eastAsia="宋体" w:cs="宋体"/>
          <w:color w:val="auto"/>
          <w:sz w:val="21"/>
          <w:szCs w:val="21"/>
        </w:rPr>
        <w:t>（3）投标人提供的《残疾人福利性单位声明函》与事实不符的，依照《政府采购法》第七十七条第一款的规定追究法律责任。</w:t>
      </w:r>
      <w:bookmarkEnd w:id="193"/>
      <w:bookmarkEnd w:id="194"/>
      <w:bookmarkEnd w:id="195"/>
      <w:bookmarkEnd w:id="196"/>
      <w:bookmarkEnd w:id="197"/>
      <w:bookmarkEnd w:id="198"/>
      <w:bookmarkEnd w:id="199"/>
      <w:bookmarkEnd w:id="200"/>
      <w:bookmarkEnd w:id="201"/>
      <w:bookmarkEnd w:id="202"/>
      <w:bookmarkEnd w:id="203"/>
      <w:bookmarkEnd w:id="204"/>
    </w:p>
    <w:p>
      <w:pPr>
        <w:spacing w:after="0" w:line="480" w:lineRule="auto"/>
        <w:ind w:firstLine="420" w:firstLineChars="200"/>
        <w:rPr>
          <w:rFonts w:hint="eastAsia" w:ascii="宋体" w:hAnsi="宋体" w:eastAsia="宋体" w:cs="宋体"/>
          <w:color w:val="auto"/>
          <w:sz w:val="21"/>
          <w:szCs w:val="21"/>
        </w:rPr>
      </w:pPr>
      <w:bookmarkStart w:id="205" w:name="_Toc5289"/>
      <w:bookmarkStart w:id="206" w:name="_Toc510171697"/>
      <w:bookmarkStart w:id="207" w:name="_Toc509927459"/>
      <w:bookmarkStart w:id="208" w:name="_Toc18843"/>
      <w:bookmarkStart w:id="209" w:name="_Toc509844829"/>
      <w:bookmarkStart w:id="210" w:name="_Toc509479534"/>
      <w:bookmarkStart w:id="211" w:name="_Toc508898070"/>
      <w:bookmarkStart w:id="212" w:name="_Toc508958707"/>
      <w:bookmarkStart w:id="213" w:name="_Toc508960157"/>
      <w:r>
        <w:rPr>
          <w:rFonts w:hint="eastAsia" w:ascii="宋体" w:hAnsi="宋体" w:eastAsia="宋体" w:cs="宋体"/>
          <w:color w:val="auto"/>
          <w:sz w:val="21"/>
          <w:szCs w:val="21"/>
        </w:rPr>
        <w:t>（4）残疾人福利性单位视同小型、微型企业，享受评审中价格扣除。残疾人福利性单位属于小型、微型企业的，不重复享受政策。</w:t>
      </w:r>
      <w:bookmarkEnd w:id="205"/>
      <w:bookmarkEnd w:id="206"/>
      <w:bookmarkEnd w:id="207"/>
      <w:bookmarkEnd w:id="208"/>
      <w:bookmarkEnd w:id="209"/>
      <w:bookmarkEnd w:id="210"/>
      <w:bookmarkEnd w:id="211"/>
      <w:bookmarkEnd w:id="212"/>
      <w:bookmarkEnd w:id="213"/>
    </w:p>
    <w:p>
      <w:pPr>
        <w:adjustRightInd/>
        <w:snapToGrid/>
        <w:spacing w:line="276" w:lineRule="auto"/>
        <w:rPr>
          <w:rFonts w:hint="eastAsia" w:ascii="宋体" w:hAnsi="宋体" w:eastAsia="宋体" w:cs="宋体"/>
          <w:bCs/>
          <w:color w:val="auto"/>
          <w:sz w:val="21"/>
          <w:szCs w:val="21"/>
        </w:rPr>
      </w:pPr>
      <w:r>
        <w:rPr>
          <w:rFonts w:hint="eastAsia" w:ascii="宋体" w:hAnsi="宋体" w:eastAsia="宋体" w:cs="宋体"/>
          <w:bCs/>
          <w:color w:val="auto"/>
          <w:sz w:val="21"/>
          <w:szCs w:val="21"/>
        </w:rPr>
        <w:br w:type="page"/>
      </w:r>
    </w:p>
    <w:p>
      <w:pPr>
        <w:pStyle w:val="5"/>
        <w:widowControl w:val="0"/>
        <w:overflowPunct w:val="0"/>
        <w:spacing w:before="0" w:after="0" w:line="240" w:lineRule="auto"/>
        <w:rPr>
          <w:rFonts w:hint="eastAsia" w:ascii="宋体" w:hAnsi="宋体" w:eastAsia="宋体" w:cs="宋体"/>
          <w:color w:val="auto"/>
        </w:rPr>
      </w:pPr>
      <w:bookmarkStart w:id="214" w:name="_Toc17460"/>
      <w:r>
        <w:rPr>
          <w:rFonts w:hint="eastAsia" w:ascii="宋体" w:hAnsi="宋体" w:eastAsia="宋体" w:cs="宋体"/>
          <w:color w:val="auto"/>
          <w:sz w:val="21"/>
          <w:szCs w:val="21"/>
        </w:rPr>
        <w:t>附件20. 投标保证金汇入情况说明格式</w:t>
      </w:r>
      <w:bookmarkEnd w:id="214"/>
    </w:p>
    <w:p>
      <w:pPr>
        <w:rPr>
          <w:rFonts w:hint="eastAsia" w:ascii="宋体" w:hAnsi="宋体" w:eastAsia="宋体" w:cs="宋体"/>
          <w:color w:val="auto"/>
        </w:rPr>
      </w:pPr>
    </w:p>
    <w:p>
      <w:pPr>
        <w:jc w:val="center"/>
        <w:rPr>
          <w:rFonts w:hint="eastAsia" w:ascii="宋体" w:hAnsi="宋体" w:eastAsia="宋体" w:cs="宋体"/>
          <w:color w:val="auto"/>
          <w:sz w:val="28"/>
          <w:szCs w:val="28"/>
        </w:rPr>
      </w:pPr>
      <w:r>
        <w:rPr>
          <w:rFonts w:hint="eastAsia" w:ascii="宋体" w:hAnsi="宋体" w:eastAsia="宋体" w:cs="宋体"/>
          <w:color w:val="auto"/>
          <w:sz w:val="28"/>
          <w:szCs w:val="28"/>
        </w:rPr>
        <w:t>投标保证金汇入情况说明</w:t>
      </w:r>
    </w:p>
    <w:p>
      <w:pPr>
        <w:spacing w:after="0" w:line="480" w:lineRule="auto"/>
        <w:rPr>
          <w:rFonts w:hint="eastAsia" w:ascii="宋体" w:hAnsi="宋体" w:eastAsia="宋体" w:cs="宋体"/>
          <w:color w:val="auto"/>
          <w:sz w:val="21"/>
          <w:szCs w:val="21"/>
        </w:rPr>
      </w:pPr>
      <w:r>
        <w:rPr>
          <w:rFonts w:hint="eastAsia" w:ascii="宋体" w:hAnsi="宋体" w:eastAsia="宋体" w:cs="宋体"/>
          <w:color w:val="auto"/>
          <w:sz w:val="21"/>
          <w:szCs w:val="21"/>
        </w:rPr>
        <w:t>致：</w:t>
      </w:r>
      <w:r>
        <w:rPr>
          <w:rFonts w:hint="eastAsia" w:ascii="宋体" w:hAnsi="宋体" w:eastAsia="宋体" w:cs="宋体"/>
          <w:color w:val="auto"/>
          <w:sz w:val="21"/>
          <w:szCs w:val="21"/>
          <w:lang w:eastAsia="zh-CN"/>
        </w:rPr>
        <w:t>三方诚信招标有限公司</w:t>
      </w:r>
      <w:r>
        <w:rPr>
          <w:rFonts w:hint="eastAsia" w:ascii="宋体" w:hAnsi="宋体" w:eastAsia="宋体" w:cs="宋体"/>
          <w:color w:val="auto"/>
          <w:sz w:val="21"/>
          <w:szCs w:val="21"/>
        </w:rPr>
        <w:t>东莞分公司：</w:t>
      </w:r>
    </w:p>
    <w:p>
      <w:pPr>
        <w:spacing w:after="0" w:line="48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本单位已按</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项目</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包（</w:t>
      </w:r>
      <w:r>
        <w:rPr>
          <w:rFonts w:hint="eastAsia" w:ascii="宋体" w:hAnsi="宋体" w:eastAsia="宋体" w:cs="宋体"/>
          <w:color w:val="auto"/>
          <w:sz w:val="21"/>
          <w:szCs w:val="21"/>
          <w:lang w:eastAsia="zh-CN"/>
        </w:rPr>
        <w:t>采购项目编号</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）的招标文件要求，于</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日前以</w:t>
      </w:r>
      <w:r>
        <w:rPr>
          <w:rFonts w:hint="eastAsia" w:ascii="宋体" w:hAnsi="宋体" w:eastAsia="宋体" w:cs="宋体"/>
          <w:color w:val="auto"/>
          <w:sz w:val="21"/>
          <w:szCs w:val="21"/>
          <w:u w:val="single"/>
        </w:rPr>
        <w:t xml:space="preserve">           （付款形式）</w:t>
      </w:r>
      <w:r>
        <w:rPr>
          <w:rFonts w:hint="eastAsia" w:ascii="宋体" w:hAnsi="宋体" w:eastAsia="宋体" w:cs="宋体"/>
          <w:color w:val="auto"/>
          <w:sz w:val="21"/>
          <w:szCs w:val="21"/>
        </w:rPr>
        <w:t>方式汇入指定帐户（帐户名称：</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，帐号：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,开户银行：</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w:t>
      </w:r>
    </w:p>
    <w:p>
      <w:pPr>
        <w:spacing w:after="0" w:line="48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本单位投标保证金的汇款情况：（详见附件－投标保证金进帐单）</w:t>
      </w:r>
    </w:p>
    <w:p>
      <w:pPr>
        <w:spacing w:after="0" w:line="48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汇出时间：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p>
    <w:p>
      <w:pPr>
        <w:spacing w:after="0" w:line="48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汇款金额：（大写）人民币</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元（小写：￥</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元），</w:t>
      </w:r>
    </w:p>
    <w:p>
      <w:pPr>
        <w:spacing w:after="0" w:line="48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汇款帐户名称：</w:t>
      </w:r>
      <w:r>
        <w:rPr>
          <w:rFonts w:hint="eastAsia" w:ascii="宋体" w:hAnsi="宋体" w:eastAsia="宋体" w:cs="宋体"/>
          <w:color w:val="auto"/>
          <w:sz w:val="21"/>
          <w:szCs w:val="21"/>
          <w:u w:val="single"/>
        </w:rPr>
        <w:t xml:space="preserve">  （必须是投标时使用的帐户名）   </w:t>
      </w:r>
    </w:p>
    <w:p>
      <w:pPr>
        <w:spacing w:after="0" w:line="48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帐        号：</w:t>
      </w:r>
      <w:r>
        <w:rPr>
          <w:rFonts w:hint="eastAsia" w:ascii="宋体" w:hAnsi="宋体" w:eastAsia="宋体" w:cs="宋体"/>
          <w:color w:val="auto"/>
          <w:sz w:val="21"/>
          <w:szCs w:val="21"/>
          <w:u w:val="single"/>
        </w:rPr>
        <w:t xml:space="preserve">  （必须是投标时使用的帐号）     </w:t>
      </w:r>
    </w:p>
    <w:p>
      <w:pPr>
        <w:spacing w:after="0" w:line="48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开 户  银 行：</w:t>
      </w:r>
      <w:r>
        <w:rPr>
          <w:rFonts w:hint="eastAsia" w:ascii="宋体" w:hAnsi="宋体" w:eastAsia="宋体" w:cs="宋体"/>
          <w:color w:val="auto"/>
          <w:sz w:val="21"/>
          <w:szCs w:val="21"/>
          <w:u w:val="single"/>
        </w:rPr>
        <w:t xml:space="preserve">  （      银行   分行  支行    ）</w:t>
      </w:r>
    </w:p>
    <w:p>
      <w:pPr>
        <w:spacing w:after="0" w:line="48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本单位谨承诺上述资料是正确、真实的，如因上述证明与事实不符导致的一切损失，本单位保证承担赔偿等一切法律责任。</w:t>
      </w:r>
    </w:p>
    <w:p>
      <w:pPr>
        <w:spacing w:after="0" w:line="48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投标保证金退回时，请按上述资料退回。</w:t>
      </w:r>
    </w:p>
    <w:p>
      <w:pPr>
        <w:spacing w:after="0" w:line="480" w:lineRule="auto"/>
        <w:ind w:right="884" w:rightChars="402"/>
        <w:jc w:val="right"/>
        <w:rPr>
          <w:rFonts w:hint="eastAsia" w:ascii="宋体" w:hAnsi="宋体" w:eastAsia="宋体" w:cs="宋体"/>
          <w:color w:val="auto"/>
          <w:sz w:val="21"/>
          <w:szCs w:val="21"/>
        </w:rPr>
      </w:pPr>
      <w:r>
        <w:rPr>
          <w:rFonts w:hint="eastAsia" w:ascii="宋体" w:hAnsi="宋体" w:eastAsia="宋体" w:cs="宋体"/>
          <w:color w:val="auto"/>
          <w:sz w:val="21"/>
          <w:szCs w:val="21"/>
        </w:rPr>
        <w:t>（单位公章）</w:t>
      </w:r>
    </w:p>
    <w:p>
      <w:pPr>
        <w:spacing w:after="0" w:line="480" w:lineRule="auto"/>
        <w:ind w:right="658" w:rightChars="299"/>
        <w:jc w:val="right"/>
        <w:rPr>
          <w:rFonts w:hint="eastAsia" w:ascii="宋体" w:hAnsi="宋体" w:eastAsia="宋体" w:cs="宋体"/>
          <w:color w:val="auto"/>
          <w:sz w:val="21"/>
          <w:szCs w:val="21"/>
        </w:rPr>
      </w:pPr>
      <w:r>
        <w:rPr>
          <w:rFonts w:hint="eastAsia" w:ascii="宋体" w:hAnsi="宋体" w:eastAsia="宋体" w:cs="宋体"/>
          <w:color w:val="auto"/>
          <w:sz w:val="21"/>
          <w:szCs w:val="21"/>
        </w:rPr>
        <w:t>年 月 日</w:t>
      </w:r>
    </w:p>
    <w:p>
      <w:pPr>
        <w:spacing w:after="0" w:line="480" w:lineRule="auto"/>
        <w:rPr>
          <w:rFonts w:hint="eastAsia" w:ascii="宋体" w:hAnsi="宋体" w:eastAsia="宋体" w:cs="宋体"/>
          <w:color w:val="auto"/>
          <w:sz w:val="21"/>
          <w:szCs w:val="21"/>
        </w:rPr>
      </w:pPr>
      <w:r>
        <w:rPr>
          <w:rFonts w:hint="eastAsia" w:ascii="宋体" w:hAnsi="宋体" w:eastAsia="宋体" w:cs="宋体"/>
          <w:color w:val="auto"/>
          <w:sz w:val="21"/>
          <w:szCs w:val="21"/>
        </w:rPr>
        <w:t>单位名称：</w:t>
      </w:r>
      <w:r>
        <w:rPr>
          <w:rFonts w:hint="eastAsia" w:ascii="宋体" w:hAnsi="宋体" w:eastAsia="宋体" w:cs="宋体"/>
          <w:color w:val="auto"/>
          <w:sz w:val="21"/>
          <w:szCs w:val="21"/>
          <w:u w:val="single"/>
        </w:rPr>
        <w:t xml:space="preserve">           </w:t>
      </w:r>
    </w:p>
    <w:p>
      <w:pPr>
        <w:spacing w:after="0" w:line="480" w:lineRule="auto"/>
        <w:rPr>
          <w:rFonts w:hint="eastAsia" w:ascii="宋体" w:hAnsi="宋体" w:eastAsia="宋体" w:cs="宋体"/>
          <w:color w:val="auto"/>
          <w:sz w:val="21"/>
          <w:szCs w:val="21"/>
        </w:rPr>
      </w:pPr>
      <w:r>
        <w:rPr>
          <w:rFonts w:hint="eastAsia" w:ascii="宋体" w:hAnsi="宋体" w:eastAsia="宋体" w:cs="宋体"/>
          <w:color w:val="auto"/>
          <w:sz w:val="21"/>
          <w:szCs w:val="21"/>
        </w:rPr>
        <w:t>单位地址：</w:t>
      </w:r>
      <w:r>
        <w:rPr>
          <w:rFonts w:hint="eastAsia" w:ascii="宋体" w:hAnsi="宋体" w:eastAsia="宋体" w:cs="宋体"/>
          <w:color w:val="auto"/>
          <w:sz w:val="21"/>
          <w:szCs w:val="21"/>
          <w:u w:val="single"/>
        </w:rPr>
        <w:t xml:space="preserve">           </w:t>
      </w:r>
    </w:p>
    <w:p>
      <w:pPr>
        <w:spacing w:after="0" w:line="480" w:lineRule="auto"/>
        <w:rPr>
          <w:rFonts w:hint="eastAsia" w:ascii="宋体" w:hAnsi="宋体" w:eastAsia="宋体" w:cs="宋体"/>
          <w:color w:val="auto"/>
          <w:sz w:val="21"/>
          <w:szCs w:val="21"/>
        </w:rPr>
      </w:pPr>
      <w:r>
        <w:rPr>
          <w:rFonts w:hint="eastAsia" w:ascii="宋体" w:hAnsi="宋体" w:eastAsia="宋体" w:cs="宋体"/>
          <w:color w:val="auto"/>
          <w:sz w:val="21"/>
          <w:szCs w:val="21"/>
        </w:rPr>
        <w:t>联系人：</w:t>
      </w:r>
      <w:r>
        <w:rPr>
          <w:rFonts w:hint="eastAsia" w:ascii="宋体" w:hAnsi="宋体" w:eastAsia="宋体" w:cs="宋体"/>
          <w:color w:val="auto"/>
          <w:sz w:val="21"/>
          <w:szCs w:val="21"/>
          <w:u w:val="single"/>
        </w:rPr>
        <w:t xml:space="preserve">                   </w:t>
      </w:r>
    </w:p>
    <w:p>
      <w:pPr>
        <w:spacing w:after="0" w:line="480" w:lineRule="auto"/>
        <w:rPr>
          <w:rFonts w:hint="eastAsia" w:ascii="宋体" w:hAnsi="宋体" w:eastAsia="宋体" w:cs="宋体"/>
          <w:color w:val="auto"/>
          <w:sz w:val="21"/>
          <w:szCs w:val="21"/>
        </w:rPr>
      </w:pPr>
      <w:r>
        <w:rPr>
          <w:rFonts w:hint="eastAsia" w:ascii="宋体" w:hAnsi="宋体" w:eastAsia="宋体" w:cs="宋体"/>
          <w:color w:val="auto"/>
          <w:sz w:val="21"/>
          <w:szCs w:val="21"/>
        </w:rPr>
        <w:t>单位电话：</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联系人手机：</w:t>
      </w:r>
      <w:r>
        <w:rPr>
          <w:rFonts w:hint="eastAsia" w:ascii="宋体" w:hAnsi="宋体" w:eastAsia="宋体" w:cs="宋体"/>
          <w:color w:val="auto"/>
          <w:sz w:val="21"/>
          <w:szCs w:val="21"/>
          <w:u w:val="single"/>
        </w:rPr>
        <w:t xml:space="preserve">              </w:t>
      </w:r>
    </w:p>
    <w:p>
      <w:pPr>
        <w:spacing w:after="0"/>
        <w:rPr>
          <w:rFonts w:hint="eastAsia" w:ascii="宋体" w:hAnsi="宋体" w:eastAsia="宋体" w:cs="宋体"/>
          <w:color w:val="auto"/>
          <w:sz w:val="21"/>
          <w:szCs w:val="21"/>
        </w:rPr>
      </w:pPr>
    </w:p>
    <w:p>
      <w:pPr>
        <w:spacing w:after="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pPr>
        <w:spacing w:after="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附：我方投标保证金汇款凭证</w:t>
      </w:r>
    </w:p>
    <w:tbl>
      <w:tblPr>
        <w:tblStyle w:val="16"/>
        <w:tblW w:w="895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9" w:hRule="atLeast"/>
        </w:trPr>
        <w:tc>
          <w:tcPr>
            <w:tcW w:w="8953" w:type="dxa"/>
            <w:vAlign w:val="center"/>
          </w:tcPr>
          <w:p>
            <w:pPr>
              <w:tabs>
                <w:tab w:val="left" w:pos="3885"/>
              </w:tabs>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（粘贴汇款单或转账凭证复印件，并在骑缝上加盖投标人公章，或是直接把转账凭证复印到此张纸上）</w:t>
            </w:r>
          </w:p>
        </w:tc>
      </w:tr>
    </w:tbl>
    <w:p>
      <w:pPr>
        <w:spacing w:after="0" w:line="48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注：此表既要装订在投标文件中，又要按投标人须知的规定与开标一览表、投标保证金汇款底单复印件及授权委托书一同密封装入开标文件，开标文件单独提交。</w:t>
      </w:r>
    </w:p>
    <w:p>
      <w:pPr>
        <w:rPr>
          <w:rFonts w:hint="eastAsia" w:ascii="宋体" w:hAnsi="宋体" w:eastAsia="宋体" w:cs="宋体"/>
          <w:color w:val="auto"/>
          <w:sz w:val="21"/>
          <w:szCs w:val="21"/>
        </w:rPr>
      </w:pPr>
    </w:p>
    <w:p>
      <w:pPr>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pPr>
        <w:pStyle w:val="5"/>
        <w:keepNext/>
        <w:keepLines/>
        <w:pageBreakBefore w:val="0"/>
        <w:widowControl/>
        <w:kinsoku/>
        <w:wordWrap/>
        <w:overflowPunct/>
        <w:topLinePunct w:val="0"/>
        <w:autoSpaceDE/>
        <w:autoSpaceDN/>
        <w:bidi w:val="0"/>
        <w:adjustRightInd w:val="0"/>
        <w:snapToGrid w:val="0"/>
        <w:spacing w:before="0" w:after="0" w:line="240" w:lineRule="auto"/>
        <w:textAlignment w:val="auto"/>
        <w:rPr>
          <w:rFonts w:hint="eastAsia" w:ascii="宋体" w:hAnsi="宋体" w:eastAsia="宋体" w:cs="宋体"/>
          <w:color w:val="auto"/>
          <w:sz w:val="21"/>
          <w:szCs w:val="21"/>
        </w:rPr>
      </w:pPr>
      <w:bookmarkStart w:id="215" w:name="_Toc8186"/>
      <w:r>
        <w:rPr>
          <w:rFonts w:hint="eastAsia" w:ascii="宋体" w:hAnsi="宋体" w:eastAsia="宋体" w:cs="宋体"/>
          <w:color w:val="auto"/>
          <w:sz w:val="21"/>
          <w:szCs w:val="21"/>
        </w:rPr>
        <w:t>附件2</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.获取招标文件登记表</w:t>
      </w:r>
      <w:bookmarkEnd w:id="215"/>
    </w:p>
    <w:p>
      <w:pPr>
        <w:pStyle w:val="3"/>
        <w:spacing w:before="0" w:after="0" w:line="240" w:lineRule="auto"/>
        <w:jc w:val="center"/>
        <w:rPr>
          <w:rFonts w:hint="eastAsia" w:ascii="宋体" w:hAnsi="宋体" w:eastAsia="宋体" w:cs="宋体"/>
          <w:color w:val="auto"/>
          <w:sz w:val="44"/>
          <w:szCs w:val="44"/>
        </w:rPr>
      </w:pPr>
      <w:bookmarkStart w:id="216" w:name="_Toc1968"/>
    </w:p>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宋体" w:hAnsi="宋体" w:eastAsia="宋体" w:cs="宋体"/>
          <w:color w:val="auto"/>
          <w:sz w:val="36"/>
          <w:szCs w:val="36"/>
        </w:rPr>
      </w:pPr>
      <w:r>
        <w:rPr>
          <w:rFonts w:hint="eastAsia" w:ascii="宋体" w:hAnsi="宋体" w:eastAsia="宋体" w:cs="宋体"/>
          <w:color w:val="auto"/>
          <w:sz w:val="36"/>
          <w:szCs w:val="36"/>
        </w:rPr>
        <w:t>获取</w:t>
      </w:r>
      <w:r>
        <w:rPr>
          <w:rFonts w:hint="eastAsia" w:ascii="宋体" w:hAnsi="宋体" w:eastAsia="宋体" w:cs="宋体"/>
          <w:color w:val="auto"/>
          <w:sz w:val="36"/>
          <w:szCs w:val="36"/>
          <w:lang w:eastAsia="zh-CN"/>
        </w:rPr>
        <w:t>招标文件</w:t>
      </w:r>
      <w:r>
        <w:rPr>
          <w:rFonts w:hint="eastAsia" w:ascii="宋体" w:hAnsi="宋体" w:eastAsia="宋体" w:cs="宋体"/>
          <w:color w:val="auto"/>
          <w:sz w:val="36"/>
          <w:szCs w:val="36"/>
        </w:rPr>
        <w:t>登记表</w:t>
      </w:r>
      <w:bookmarkEnd w:id="216"/>
    </w:p>
    <w:tbl>
      <w:tblPr>
        <w:tblStyle w:val="17"/>
        <w:tblW w:w="8528"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630"/>
        <w:gridCol w:w="589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hint="eastAsia" w:ascii="宋体" w:hAnsi="宋体" w:eastAsia="宋体" w:cs="宋体"/>
                <w:color w:val="auto"/>
                <w:sz w:val="32"/>
                <w:szCs w:val="32"/>
              </w:rPr>
            </w:pPr>
            <w:r>
              <w:rPr>
                <w:rFonts w:hint="eastAsia" w:ascii="宋体" w:hAnsi="宋体" w:eastAsia="宋体" w:cs="宋体"/>
                <w:color w:val="auto"/>
                <w:sz w:val="32"/>
                <w:szCs w:val="32"/>
              </w:rPr>
              <w:t>获取</w:t>
            </w:r>
            <w:r>
              <w:rPr>
                <w:rFonts w:hint="eastAsia" w:ascii="宋体" w:hAnsi="宋体" w:eastAsia="宋体" w:cs="宋体"/>
                <w:color w:val="auto"/>
                <w:sz w:val="32"/>
                <w:szCs w:val="32"/>
                <w:lang w:eastAsia="zh-CN"/>
              </w:rPr>
              <w:t>招标文件</w:t>
            </w:r>
            <w:r>
              <w:rPr>
                <w:rFonts w:hint="eastAsia" w:ascii="宋体" w:hAnsi="宋体" w:eastAsia="宋体" w:cs="宋体"/>
                <w:color w:val="auto"/>
                <w:sz w:val="32"/>
                <w:szCs w:val="32"/>
              </w:rPr>
              <w:t>时间</w:t>
            </w:r>
          </w:p>
        </w:tc>
        <w:tc>
          <w:tcPr>
            <w:tcW w:w="5898" w:type="dxa"/>
            <w:vAlign w:val="center"/>
          </w:tcPr>
          <w:p>
            <w:pPr>
              <w:spacing w:after="0"/>
              <w:jc w:val="center"/>
              <w:rPr>
                <w:rFonts w:hint="eastAsia" w:ascii="宋体" w:hAnsi="宋体" w:eastAsia="宋体" w:cs="宋体"/>
                <w:color w:val="auto"/>
                <w:sz w:val="32"/>
                <w:szCs w:val="32"/>
              </w:rPr>
            </w:pPr>
            <w:r>
              <w:rPr>
                <w:rFonts w:hint="eastAsia" w:ascii="宋体" w:hAnsi="宋体" w:eastAsia="宋体" w:cs="宋体"/>
                <w:color w:val="auto"/>
                <w:sz w:val="32"/>
                <w:szCs w:val="32"/>
              </w:rPr>
              <w:t>20</w:t>
            </w:r>
            <w:r>
              <w:rPr>
                <w:rFonts w:hint="eastAsia" w:ascii="宋体" w:hAnsi="宋体" w:eastAsia="宋体" w:cs="宋体"/>
                <w:color w:val="auto"/>
                <w:sz w:val="32"/>
                <w:szCs w:val="32"/>
                <w:lang w:val="en-US" w:eastAsia="zh-CN"/>
              </w:rPr>
              <w:t>20</w:t>
            </w:r>
            <w:r>
              <w:rPr>
                <w:rFonts w:hint="eastAsia" w:ascii="宋体" w:hAnsi="宋体" w:eastAsia="宋体" w:cs="宋体"/>
                <w:color w:val="auto"/>
                <w:sz w:val="32"/>
                <w:szCs w:val="32"/>
              </w:rPr>
              <w:t>年    月    日    时    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hint="eastAsia" w:ascii="宋体" w:hAnsi="宋体" w:eastAsia="宋体" w:cs="宋体"/>
                <w:color w:val="auto"/>
                <w:sz w:val="32"/>
                <w:szCs w:val="32"/>
              </w:rPr>
            </w:pPr>
            <w:r>
              <w:rPr>
                <w:rFonts w:hint="eastAsia" w:ascii="宋体" w:hAnsi="宋体" w:eastAsia="宋体" w:cs="宋体"/>
                <w:color w:val="auto"/>
                <w:sz w:val="32"/>
                <w:szCs w:val="32"/>
              </w:rPr>
              <w:t>拟投标项目名称</w:t>
            </w:r>
          </w:p>
        </w:tc>
        <w:tc>
          <w:tcPr>
            <w:tcW w:w="5898" w:type="dxa"/>
            <w:vAlign w:val="center"/>
          </w:tcPr>
          <w:p>
            <w:pPr>
              <w:spacing w:after="0"/>
              <w:jc w:val="center"/>
              <w:rPr>
                <w:rFonts w:hint="eastAsia" w:ascii="宋体" w:hAnsi="宋体" w:eastAsia="宋体" w:cs="宋体"/>
                <w:color w:val="auto"/>
                <w:sz w:val="32"/>
                <w:szCs w:val="32"/>
              </w:rPr>
            </w:pPr>
            <w:r>
              <w:rPr>
                <w:rFonts w:hint="eastAsia" w:ascii="宋体" w:hAnsi="宋体" w:eastAsia="宋体" w:cs="宋体"/>
                <w:color w:val="auto"/>
                <w:sz w:val="32"/>
                <w:szCs w:val="32"/>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hint="eastAsia" w:ascii="宋体" w:hAnsi="宋体" w:eastAsia="宋体" w:cs="宋体"/>
                <w:color w:val="auto"/>
                <w:sz w:val="32"/>
                <w:szCs w:val="32"/>
              </w:rPr>
            </w:pPr>
            <w:r>
              <w:rPr>
                <w:rFonts w:hint="eastAsia" w:ascii="宋体" w:hAnsi="宋体" w:eastAsia="宋体" w:cs="宋体"/>
                <w:color w:val="auto"/>
                <w:sz w:val="32"/>
                <w:szCs w:val="32"/>
              </w:rPr>
              <w:t>项目编号</w:t>
            </w:r>
          </w:p>
        </w:tc>
        <w:tc>
          <w:tcPr>
            <w:tcW w:w="5898" w:type="dxa"/>
            <w:vAlign w:val="center"/>
          </w:tcPr>
          <w:p>
            <w:pPr>
              <w:spacing w:after="0"/>
              <w:jc w:val="center"/>
              <w:rPr>
                <w:rFonts w:hint="eastAsia" w:ascii="宋体" w:hAnsi="宋体" w:eastAsia="宋体" w:cs="宋体"/>
                <w:color w:val="auto"/>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hint="eastAsia" w:ascii="宋体" w:hAnsi="宋体" w:eastAsia="宋体" w:cs="宋体"/>
                <w:color w:val="auto"/>
                <w:sz w:val="32"/>
                <w:szCs w:val="32"/>
              </w:rPr>
            </w:pPr>
            <w:r>
              <w:rPr>
                <w:rFonts w:hint="eastAsia" w:ascii="宋体" w:hAnsi="宋体" w:eastAsia="宋体" w:cs="宋体"/>
                <w:color w:val="auto"/>
                <w:sz w:val="32"/>
                <w:szCs w:val="32"/>
              </w:rPr>
              <w:t>供应商全称</w:t>
            </w:r>
          </w:p>
        </w:tc>
        <w:tc>
          <w:tcPr>
            <w:tcW w:w="5898" w:type="dxa"/>
            <w:vAlign w:val="center"/>
          </w:tcPr>
          <w:p>
            <w:pPr>
              <w:spacing w:after="0"/>
              <w:jc w:val="center"/>
              <w:rPr>
                <w:rFonts w:hint="eastAsia" w:ascii="宋体" w:hAnsi="宋体" w:eastAsia="宋体" w:cs="宋体"/>
                <w:color w:val="auto"/>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hint="eastAsia" w:ascii="宋体" w:hAnsi="宋体" w:eastAsia="宋体" w:cs="宋体"/>
                <w:color w:val="auto"/>
                <w:sz w:val="32"/>
                <w:szCs w:val="32"/>
              </w:rPr>
            </w:pPr>
            <w:r>
              <w:rPr>
                <w:rFonts w:hint="eastAsia" w:ascii="宋体" w:hAnsi="宋体" w:eastAsia="宋体" w:cs="宋体"/>
                <w:color w:val="auto"/>
                <w:sz w:val="32"/>
                <w:szCs w:val="32"/>
              </w:rPr>
              <w:t>供应商联系人</w:t>
            </w:r>
          </w:p>
        </w:tc>
        <w:tc>
          <w:tcPr>
            <w:tcW w:w="5898" w:type="dxa"/>
            <w:vAlign w:val="center"/>
          </w:tcPr>
          <w:p>
            <w:pPr>
              <w:spacing w:after="0"/>
              <w:jc w:val="center"/>
              <w:rPr>
                <w:rFonts w:hint="eastAsia" w:ascii="宋体" w:hAnsi="宋体" w:eastAsia="宋体" w:cs="宋体"/>
                <w:color w:val="auto"/>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hint="eastAsia" w:ascii="宋体" w:hAnsi="宋体" w:eastAsia="宋体" w:cs="宋体"/>
                <w:color w:val="auto"/>
                <w:sz w:val="32"/>
                <w:szCs w:val="32"/>
              </w:rPr>
            </w:pPr>
            <w:r>
              <w:rPr>
                <w:rFonts w:hint="eastAsia" w:ascii="宋体" w:hAnsi="宋体" w:eastAsia="宋体" w:cs="宋体"/>
                <w:color w:val="auto"/>
                <w:sz w:val="32"/>
                <w:szCs w:val="32"/>
              </w:rPr>
              <w:t>电话</w:t>
            </w:r>
          </w:p>
        </w:tc>
        <w:tc>
          <w:tcPr>
            <w:tcW w:w="5898" w:type="dxa"/>
            <w:vAlign w:val="center"/>
          </w:tcPr>
          <w:p>
            <w:pPr>
              <w:spacing w:after="0"/>
              <w:jc w:val="center"/>
              <w:rPr>
                <w:rFonts w:hint="eastAsia" w:ascii="宋体" w:hAnsi="宋体" w:eastAsia="宋体" w:cs="宋体"/>
                <w:color w:val="auto"/>
                <w:sz w:val="32"/>
                <w:szCs w:val="32"/>
              </w:rPr>
            </w:pPr>
            <w:r>
              <w:rPr>
                <w:rFonts w:hint="eastAsia" w:ascii="宋体" w:hAnsi="宋体" w:eastAsia="宋体" w:cs="宋体"/>
                <w:color w:val="auto"/>
                <w:sz w:val="32"/>
                <w:szCs w:val="32"/>
              </w:rPr>
              <w:drawing>
                <wp:anchor distT="0" distB="0" distL="114300" distR="114300" simplePos="0" relativeHeight="251658240" behindDoc="1" locked="0" layoutInCell="1" allowOverlap="1">
                  <wp:simplePos x="0" y="0"/>
                  <wp:positionH relativeFrom="column">
                    <wp:posOffset>485775</wp:posOffset>
                  </wp:positionH>
                  <wp:positionV relativeFrom="paragraph">
                    <wp:posOffset>22225</wp:posOffset>
                  </wp:positionV>
                  <wp:extent cx="1504950" cy="1409700"/>
                  <wp:effectExtent l="0" t="0" r="0" b="0"/>
                  <wp:wrapNone/>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01"/>
                          <a:stretch>
                            <a:fillRect/>
                          </a:stretch>
                        </pic:blipFill>
                        <pic:spPr>
                          <a:xfrm>
                            <a:off x="0" y="0"/>
                            <a:ext cx="1504950" cy="1409700"/>
                          </a:xfrm>
                          <a:prstGeom prst="rect">
                            <a:avLst/>
                          </a:prstGeom>
                          <a:noFill/>
                          <a:ln>
                            <a:noFill/>
                          </a:ln>
                        </pic:spPr>
                      </pic:pic>
                    </a:graphicData>
                  </a:graphic>
                </wp:anchor>
              </w:drawing>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hint="eastAsia" w:ascii="宋体" w:hAnsi="宋体" w:eastAsia="宋体" w:cs="宋体"/>
                <w:color w:val="auto"/>
                <w:sz w:val="32"/>
                <w:szCs w:val="32"/>
              </w:rPr>
            </w:pPr>
            <w:r>
              <w:rPr>
                <w:rFonts w:hint="eastAsia" w:ascii="宋体" w:hAnsi="宋体" w:eastAsia="宋体" w:cs="宋体"/>
                <w:color w:val="auto"/>
                <w:sz w:val="32"/>
                <w:szCs w:val="32"/>
              </w:rPr>
              <w:t>手机</w:t>
            </w:r>
          </w:p>
        </w:tc>
        <w:tc>
          <w:tcPr>
            <w:tcW w:w="5898" w:type="dxa"/>
            <w:vAlign w:val="center"/>
          </w:tcPr>
          <w:p>
            <w:pPr>
              <w:spacing w:after="0"/>
              <w:jc w:val="center"/>
              <w:rPr>
                <w:rFonts w:hint="eastAsia" w:ascii="宋体" w:hAnsi="宋体" w:eastAsia="宋体" w:cs="宋体"/>
                <w:color w:val="auto"/>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hint="eastAsia" w:ascii="宋体" w:hAnsi="宋体" w:eastAsia="宋体" w:cs="宋体"/>
                <w:color w:val="auto"/>
                <w:sz w:val="32"/>
                <w:szCs w:val="32"/>
              </w:rPr>
            </w:pPr>
            <w:r>
              <w:rPr>
                <w:rFonts w:hint="eastAsia" w:ascii="宋体" w:hAnsi="宋体" w:eastAsia="宋体" w:cs="宋体"/>
                <w:color w:val="auto"/>
                <w:sz w:val="32"/>
                <w:szCs w:val="32"/>
              </w:rPr>
              <w:t>传真</w:t>
            </w:r>
          </w:p>
        </w:tc>
        <w:tc>
          <w:tcPr>
            <w:tcW w:w="5898" w:type="dxa"/>
            <w:vAlign w:val="center"/>
          </w:tcPr>
          <w:p>
            <w:pPr>
              <w:spacing w:after="0"/>
              <w:jc w:val="center"/>
              <w:rPr>
                <w:rFonts w:hint="eastAsia" w:ascii="宋体" w:hAnsi="宋体" w:eastAsia="宋体" w:cs="宋体"/>
                <w:color w:val="auto"/>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hint="eastAsia" w:ascii="宋体" w:hAnsi="宋体" w:eastAsia="宋体" w:cs="宋体"/>
                <w:color w:val="auto"/>
                <w:sz w:val="32"/>
                <w:szCs w:val="32"/>
              </w:rPr>
            </w:pPr>
            <w:r>
              <w:rPr>
                <w:rFonts w:hint="eastAsia" w:ascii="宋体" w:hAnsi="宋体" w:eastAsia="宋体" w:cs="宋体"/>
                <w:color w:val="auto"/>
                <w:sz w:val="32"/>
                <w:szCs w:val="32"/>
              </w:rPr>
              <w:t>电子邮箱</w:t>
            </w:r>
          </w:p>
        </w:tc>
        <w:tc>
          <w:tcPr>
            <w:tcW w:w="5898" w:type="dxa"/>
            <w:vAlign w:val="center"/>
          </w:tcPr>
          <w:p>
            <w:pPr>
              <w:spacing w:after="0"/>
              <w:jc w:val="center"/>
              <w:rPr>
                <w:rFonts w:hint="eastAsia" w:ascii="宋体" w:hAnsi="宋体" w:eastAsia="宋体" w:cs="宋体"/>
                <w:color w:val="auto"/>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hint="eastAsia" w:ascii="宋体" w:hAnsi="宋体" w:eastAsia="宋体" w:cs="宋体"/>
                <w:color w:val="auto"/>
                <w:sz w:val="32"/>
                <w:szCs w:val="32"/>
              </w:rPr>
            </w:pPr>
            <w:r>
              <w:rPr>
                <w:rFonts w:hint="eastAsia" w:ascii="宋体" w:hAnsi="宋体" w:eastAsia="宋体" w:cs="宋体"/>
                <w:color w:val="auto"/>
                <w:sz w:val="32"/>
                <w:szCs w:val="32"/>
              </w:rPr>
              <w:t>单位地址及邮编</w:t>
            </w:r>
          </w:p>
        </w:tc>
        <w:tc>
          <w:tcPr>
            <w:tcW w:w="5898" w:type="dxa"/>
            <w:vAlign w:val="center"/>
          </w:tcPr>
          <w:p>
            <w:pPr>
              <w:spacing w:after="0"/>
              <w:jc w:val="center"/>
              <w:rPr>
                <w:rFonts w:hint="eastAsia" w:ascii="宋体" w:hAnsi="宋体" w:eastAsia="宋体" w:cs="宋体"/>
                <w:color w:val="auto"/>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76" w:hRule="atLeast"/>
        </w:trPr>
        <w:tc>
          <w:tcPr>
            <w:tcW w:w="2630" w:type="dxa"/>
            <w:vAlign w:val="center"/>
          </w:tcPr>
          <w:p>
            <w:pPr>
              <w:spacing w:after="0"/>
              <w:jc w:val="center"/>
              <w:rPr>
                <w:rFonts w:hint="eastAsia" w:ascii="宋体" w:hAnsi="宋体" w:eastAsia="宋体" w:cs="宋体"/>
                <w:color w:val="auto"/>
                <w:sz w:val="32"/>
                <w:szCs w:val="32"/>
              </w:rPr>
            </w:pPr>
            <w:r>
              <w:rPr>
                <w:rFonts w:hint="eastAsia" w:ascii="宋体" w:hAnsi="宋体" w:eastAsia="宋体" w:cs="宋体"/>
                <w:color w:val="auto"/>
                <w:sz w:val="32"/>
                <w:szCs w:val="32"/>
              </w:rPr>
              <w:t>备注</w:t>
            </w:r>
          </w:p>
        </w:tc>
        <w:tc>
          <w:tcPr>
            <w:tcW w:w="5898" w:type="dxa"/>
            <w:vAlign w:val="center"/>
          </w:tcPr>
          <w:p>
            <w:pPr>
              <w:spacing w:after="0"/>
              <w:jc w:val="center"/>
              <w:rPr>
                <w:rFonts w:hint="eastAsia" w:ascii="宋体" w:hAnsi="宋体" w:eastAsia="宋体" w:cs="宋体"/>
                <w:color w:val="auto"/>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hint="eastAsia" w:ascii="宋体" w:hAnsi="宋体" w:eastAsia="宋体" w:cs="宋体"/>
                <w:color w:val="auto"/>
                <w:sz w:val="32"/>
                <w:szCs w:val="32"/>
              </w:rPr>
            </w:pPr>
            <w:r>
              <w:rPr>
                <w:rFonts w:hint="eastAsia" w:ascii="宋体" w:hAnsi="宋体" w:eastAsia="宋体" w:cs="宋体"/>
                <w:color w:val="auto"/>
                <w:sz w:val="32"/>
                <w:szCs w:val="32"/>
                <w:lang w:eastAsia="zh-CN"/>
              </w:rPr>
              <w:t>招标文件</w:t>
            </w:r>
            <w:r>
              <w:rPr>
                <w:rFonts w:hint="eastAsia" w:ascii="宋体" w:hAnsi="宋体" w:eastAsia="宋体" w:cs="宋体"/>
                <w:color w:val="auto"/>
                <w:sz w:val="32"/>
                <w:szCs w:val="32"/>
              </w:rPr>
              <w:t>领取人签名</w:t>
            </w:r>
          </w:p>
        </w:tc>
        <w:tc>
          <w:tcPr>
            <w:tcW w:w="5898" w:type="dxa"/>
            <w:vAlign w:val="center"/>
          </w:tcPr>
          <w:p>
            <w:pPr>
              <w:spacing w:after="0"/>
              <w:jc w:val="center"/>
              <w:rPr>
                <w:rFonts w:hint="eastAsia" w:ascii="宋体" w:hAnsi="宋体" w:eastAsia="宋体" w:cs="宋体"/>
                <w:color w:val="auto"/>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hint="eastAsia" w:ascii="宋体" w:hAnsi="宋体" w:eastAsia="宋体" w:cs="宋体"/>
                <w:color w:val="auto"/>
                <w:sz w:val="32"/>
                <w:szCs w:val="32"/>
              </w:rPr>
            </w:pPr>
            <w:r>
              <w:rPr>
                <w:rFonts w:hint="eastAsia" w:ascii="宋体" w:hAnsi="宋体" w:eastAsia="宋体" w:cs="宋体"/>
                <w:color w:val="auto"/>
                <w:sz w:val="32"/>
                <w:szCs w:val="32"/>
                <w:lang w:eastAsia="zh-CN"/>
              </w:rPr>
              <w:t>招标文件</w:t>
            </w:r>
            <w:r>
              <w:rPr>
                <w:rFonts w:hint="eastAsia" w:ascii="宋体" w:hAnsi="宋体" w:eastAsia="宋体" w:cs="宋体"/>
                <w:color w:val="auto"/>
                <w:sz w:val="32"/>
                <w:szCs w:val="32"/>
              </w:rPr>
              <w:t>发售人签名</w:t>
            </w:r>
          </w:p>
        </w:tc>
        <w:tc>
          <w:tcPr>
            <w:tcW w:w="5898" w:type="dxa"/>
            <w:vAlign w:val="center"/>
          </w:tcPr>
          <w:p>
            <w:pPr>
              <w:spacing w:after="0"/>
              <w:jc w:val="center"/>
              <w:rPr>
                <w:rFonts w:hint="eastAsia" w:ascii="宋体" w:hAnsi="宋体" w:eastAsia="宋体" w:cs="宋体"/>
                <w:color w:val="auto"/>
                <w:sz w:val="32"/>
                <w:szCs w:val="32"/>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hint="eastAsia" w:ascii="宋体" w:hAnsi="宋体" w:eastAsia="宋体" w:cs="宋体"/>
                <w:color w:val="auto"/>
                <w:sz w:val="32"/>
                <w:szCs w:val="32"/>
              </w:rPr>
            </w:pPr>
            <w:r>
              <w:rPr>
                <w:rFonts w:hint="eastAsia" w:ascii="宋体" w:hAnsi="宋体" w:eastAsia="宋体" w:cs="宋体"/>
                <w:color w:val="auto"/>
                <w:sz w:val="32"/>
                <w:szCs w:val="32"/>
                <w:lang w:eastAsia="zh-CN"/>
              </w:rPr>
              <w:t>招标文件</w:t>
            </w:r>
            <w:r>
              <w:rPr>
                <w:rFonts w:hint="eastAsia" w:ascii="宋体" w:hAnsi="宋体" w:eastAsia="宋体" w:cs="宋体"/>
                <w:color w:val="auto"/>
                <w:sz w:val="32"/>
                <w:szCs w:val="32"/>
              </w:rPr>
              <w:t>售价</w:t>
            </w:r>
          </w:p>
        </w:tc>
        <w:tc>
          <w:tcPr>
            <w:tcW w:w="5898" w:type="dxa"/>
            <w:vAlign w:val="center"/>
          </w:tcPr>
          <w:p>
            <w:pPr>
              <w:spacing w:after="0"/>
              <w:jc w:val="center"/>
              <w:rPr>
                <w:rFonts w:hint="eastAsia" w:ascii="宋体" w:hAnsi="宋体" w:eastAsia="宋体" w:cs="宋体"/>
                <w:color w:val="auto"/>
                <w:sz w:val="32"/>
                <w:szCs w:val="32"/>
              </w:rPr>
            </w:pPr>
            <w:r>
              <w:rPr>
                <w:rFonts w:hint="eastAsia" w:ascii="宋体" w:hAnsi="宋体" w:eastAsia="宋体" w:cs="宋体"/>
                <w:color w:val="auto"/>
                <w:sz w:val="32"/>
                <w:szCs w:val="32"/>
              </w:rPr>
              <w:t>人民币150元/份</w:t>
            </w:r>
          </w:p>
        </w:tc>
      </w:tr>
    </w:tbl>
    <w:p>
      <w:pPr>
        <w:rPr>
          <w:rFonts w:hint="eastAsia" w:ascii="宋体" w:hAnsi="宋体" w:eastAsia="宋体" w:cs="宋体"/>
          <w:color w:val="auto"/>
          <w:sz w:val="21"/>
          <w:szCs w:val="21"/>
        </w:rPr>
      </w:pPr>
    </w:p>
    <w:p>
      <w:pPr>
        <w:pStyle w:val="2"/>
        <w:rPr>
          <w:rFonts w:hint="eastAsia" w:ascii="宋体" w:hAnsi="宋体" w:eastAsia="宋体" w:cs="宋体"/>
          <w:color w:val="auto"/>
        </w:rPr>
      </w:pPr>
    </w:p>
    <w:sectPr>
      <w:footerReference r:id="rId5" w:type="first"/>
      <w:footerReference r:id="rId4" w:type="default"/>
      <w:pgSz w:w="11906" w:h="16838"/>
      <w:pgMar w:top="1440" w:right="1800" w:bottom="1440" w:left="1800" w:header="708" w:footer="708" w:gutter="0"/>
      <w:pgNumType w:start="1"/>
      <w:cols w:space="708" w:num="1"/>
      <w:titlePg/>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w:t>
                          </w: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zql5uc8AAAAF&#10;AQAADwAAAAAAAAABACAAAAAiAAAAZHJzL2Rvd25yZXYueG1sUEsBAhQAFAAAAAgAh07iQLhhMEKz&#10;AQAASwMAAA4AAAAAAAAAAQAgAAAAHgEAAGRycy9lMm9Eb2MueG1sUEsFBgAAAAAGAAYAWQEAAEMF&#10;AAAAAA==&#10;">
              <v:fill on="f" focussize="0,0"/>
              <v:stroke on="f"/>
              <v:imagedata o:title=""/>
              <o:lock v:ext="edit" aspectratio="f"/>
              <v:textbox inset="0mm,0mm,0mm,0mm" style="mso-fit-shape-to-text:t;">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62</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OqXm5zwAAAAUB&#10;AAAPAAAAAAAAAAEAIAAAACIAAABkcnMvZG93bnJldi54bWxQSwECFAAUAAAACACHTuJAc97CcLIB&#10;AABLAwAADgAAAAAAAAABACAAAAAeAQAAZHJzL2Uyb0RvYy54bWxQSwUGAAAAAAYABgBZAQAAQgUA&#10;AAAA&#10;">
              <v:fill on="f" focussize="0,0"/>
              <v:stroke on="f"/>
              <v:imagedata o:title=""/>
              <o:lock v:ext="edit" aspectratio="f"/>
              <v:textbox inset="0mm,0mm,0mm,0mm" style="mso-fit-shape-to-text:t;">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62</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left"/>
    </w:pPr>
    <w:r>
      <w:rPr>
        <w:rFonts w:hint="eastAsia"/>
        <w:lang w:eastAsia="zh-CN"/>
      </w:rPr>
      <w:t>国内</w:t>
    </w:r>
    <w:r>
      <w:rPr>
        <w:rFonts w:hint="eastAsia"/>
      </w:rPr>
      <w:t>采购公开招标文件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587489"/>
    <w:multiLevelType w:val="singleLevel"/>
    <w:tmpl w:val="93587489"/>
    <w:lvl w:ilvl="0" w:tentative="0">
      <w:start w:val="1"/>
      <w:numFmt w:val="decimal"/>
      <w:suff w:val="nothing"/>
      <w:lvlText w:val="%1、"/>
      <w:lvlJc w:val="left"/>
    </w:lvl>
  </w:abstractNum>
  <w:abstractNum w:abstractNumId="1">
    <w:nsid w:val="A9D1E0F1"/>
    <w:multiLevelType w:val="singleLevel"/>
    <w:tmpl w:val="A9D1E0F1"/>
    <w:lvl w:ilvl="0" w:tentative="0">
      <w:start w:val="1"/>
      <w:numFmt w:val="decimal"/>
      <w:suff w:val="nothing"/>
      <w:lvlText w:val="%1、"/>
      <w:lvlJc w:val="left"/>
    </w:lvl>
  </w:abstractNum>
  <w:abstractNum w:abstractNumId="2">
    <w:nsid w:val="CFF174A5"/>
    <w:multiLevelType w:val="singleLevel"/>
    <w:tmpl w:val="CFF174A5"/>
    <w:lvl w:ilvl="0" w:tentative="0">
      <w:start w:val="1"/>
      <w:numFmt w:val="decimal"/>
      <w:suff w:val="nothing"/>
      <w:lvlText w:val="%1、"/>
      <w:lvlJc w:val="left"/>
    </w:lvl>
  </w:abstractNum>
  <w:abstractNum w:abstractNumId="3">
    <w:nsid w:val="D0047B7E"/>
    <w:multiLevelType w:val="singleLevel"/>
    <w:tmpl w:val="D0047B7E"/>
    <w:lvl w:ilvl="0" w:tentative="0">
      <w:start w:val="1"/>
      <w:numFmt w:val="decimal"/>
      <w:suff w:val="nothing"/>
      <w:lvlText w:val="%1、"/>
      <w:lvlJc w:val="left"/>
    </w:lvl>
  </w:abstractNum>
  <w:abstractNum w:abstractNumId="4">
    <w:nsid w:val="E09EF6E1"/>
    <w:multiLevelType w:val="singleLevel"/>
    <w:tmpl w:val="E09EF6E1"/>
    <w:lvl w:ilvl="0" w:tentative="0">
      <w:start w:val="1"/>
      <w:numFmt w:val="decimal"/>
      <w:suff w:val="nothing"/>
      <w:lvlText w:val="（%1）"/>
      <w:lvlJc w:val="left"/>
    </w:lvl>
  </w:abstractNum>
  <w:abstractNum w:abstractNumId="5">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13387DFE"/>
    <w:multiLevelType w:val="multilevel"/>
    <w:tmpl w:val="13387DFE"/>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2AEA0AA3"/>
    <w:multiLevelType w:val="multilevel"/>
    <w:tmpl w:val="2AEA0AA3"/>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F88662E"/>
    <w:multiLevelType w:val="singleLevel"/>
    <w:tmpl w:val="3F88662E"/>
    <w:lvl w:ilvl="0" w:tentative="0">
      <w:start w:val="1"/>
      <w:numFmt w:val="decimal"/>
      <w:suff w:val="space"/>
      <w:lvlText w:val="%1)"/>
      <w:lvlJc w:val="left"/>
    </w:lvl>
  </w:abstractNum>
  <w:abstractNum w:abstractNumId="9">
    <w:nsid w:val="580745EB"/>
    <w:multiLevelType w:val="multilevel"/>
    <w:tmpl w:val="580745E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C183DB0"/>
    <w:multiLevelType w:val="multilevel"/>
    <w:tmpl w:val="5C183DB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D1539A1"/>
    <w:multiLevelType w:val="multilevel"/>
    <w:tmpl w:val="5D1539A1"/>
    <w:lvl w:ilvl="0" w:tentative="0">
      <w:start w:val="1"/>
      <w:numFmt w:val="decimal"/>
      <w:lvlText w:val="（%1）"/>
      <w:lvlJc w:val="left"/>
      <w:pPr>
        <w:ind w:left="1287" w:hanging="72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7"/>
  </w:num>
  <w:num w:numId="2">
    <w:abstractNumId w:val="1"/>
  </w:num>
  <w:num w:numId="3">
    <w:abstractNumId w:val="9"/>
  </w:num>
  <w:num w:numId="4">
    <w:abstractNumId w:val="6"/>
  </w:num>
  <w:num w:numId="5">
    <w:abstractNumId w:val="11"/>
  </w:num>
  <w:num w:numId="6">
    <w:abstractNumId w:val="8"/>
  </w:num>
  <w:num w:numId="7">
    <w:abstractNumId w:val="4"/>
  </w:num>
  <w:num w:numId="8">
    <w:abstractNumId w:val="2"/>
  </w:num>
  <w:num w:numId="9">
    <w:abstractNumId w:val="5"/>
  </w:num>
  <w:num w:numId="10">
    <w:abstractNumId w:val="0"/>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F6B"/>
    <w:rsid w:val="00006462"/>
    <w:rsid w:val="000300E4"/>
    <w:rsid w:val="0003307E"/>
    <w:rsid w:val="000336BA"/>
    <w:rsid w:val="000359A1"/>
    <w:rsid w:val="0007500F"/>
    <w:rsid w:val="0008282E"/>
    <w:rsid w:val="000A363F"/>
    <w:rsid w:val="000A42A8"/>
    <w:rsid w:val="000A5063"/>
    <w:rsid w:val="000A5DBD"/>
    <w:rsid w:val="000C4524"/>
    <w:rsid w:val="000D44A6"/>
    <w:rsid w:val="000F0E98"/>
    <w:rsid w:val="001049A5"/>
    <w:rsid w:val="001242F3"/>
    <w:rsid w:val="00134CAD"/>
    <w:rsid w:val="0013730B"/>
    <w:rsid w:val="00137853"/>
    <w:rsid w:val="00137E1C"/>
    <w:rsid w:val="00147012"/>
    <w:rsid w:val="00173126"/>
    <w:rsid w:val="00173905"/>
    <w:rsid w:val="00173E04"/>
    <w:rsid w:val="00175D29"/>
    <w:rsid w:val="001844F4"/>
    <w:rsid w:val="00185039"/>
    <w:rsid w:val="001A06D8"/>
    <w:rsid w:val="001A2D42"/>
    <w:rsid w:val="001A2EF7"/>
    <w:rsid w:val="001B41CF"/>
    <w:rsid w:val="001B5860"/>
    <w:rsid w:val="001C1135"/>
    <w:rsid w:val="001C15AE"/>
    <w:rsid w:val="001C4661"/>
    <w:rsid w:val="001C5689"/>
    <w:rsid w:val="001C6E4B"/>
    <w:rsid w:val="001F0070"/>
    <w:rsid w:val="001F4B02"/>
    <w:rsid w:val="002065A7"/>
    <w:rsid w:val="0021149E"/>
    <w:rsid w:val="00213021"/>
    <w:rsid w:val="00216BE9"/>
    <w:rsid w:val="0022503E"/>
    <w:rsid w:val="00225BB4"/>
    <w:rsid w:val="00226313"/>
    <w:rsid w:val="00240F5F"/>
    <w:rsid w:val="00247AE0"/>
    <w:rsid w:val="00260AC1"/>
    <w:rsid w:val="0026312D"/>
    <w:rsid w:val="0027078E"/>
    <w:rsid w:val="00284156"/>
    <w:rsid w:val="00285643"/>
    <w:rsid w:val="002867A1"/>
    <w:rsid w:val="002901F8"/>
    <w:rsid w:val="002B4087"/>
    <w:rsid w:val="002B5F6C"/>
    <w:rsid w:val="002C6C78"/>
    <w:rsid w:val="002D1594"/>
    <w:rsid w:val="002D3F9C"/>
    <w:rsid w:val="002D503C"/>
    <w:rsid w:val="002D7E27"/>
    <w:rsid w:val="002E17E5"/>
    <w:rsid w:val="002E6B7E"/>
    <w:rsid w:val="0030669E"/>
    <w:rsid w:val="00320CEA"/>
    <w:rsid w:val="00323B43"/>
    <w:rsid w:val="00326831"/>
    <w:rsid w:val="003274CE"/>
    <w:rsid w:val="003430F6"/>
    <w:rsid w:val="0038564C"/>
    <w:rsid w:val="00393B1D"/>
    <w:rsid w:val="003A1D97"/>
    <w:rsid w:val="003C3B19"/>
    <w:rsid w:val="003C412B"/>
    <w:rsid w:val="003C415C"/>
    <w:rsid w:val="003D36FB"/>
    <w:rsid w:val="003D37D8"/>
    <w:rsid w:val="003E2B8C"/>
    <w:rsid w:val="003F4822"/>
    <w:rsid w:val="00401CC0"/>
    <w:rsid w:val="00410F11"/>
    <w:rsid w:val="004203B9"/>
    <w:rsid w:val="004322A2"/>
    <w:rsid w:val="004358AB"/>
    <w:rsid w:val="00451EB4"/>
    <w:rsid w:val="00460B31"/>
    <w:rsid w:val="00462105"/>
    <w:rsid w:val="00475A80"/>
    <w:rsid w:val="00490B9E"/>
    <w:rsid w:val="00497577"/>
    <w:rsid w:val="004A05D7"/>
    <w:rsid w:val="004A2B28"/>
    <w:rsid w:val="004A69F1"/>
    <w:rsid w:val="004B3550"/>
    <w:rsid w:val="004D51A2"/>
    <w:rsid w:val="004D5AFB"/>
    <w:rsid w:val="004E04FD"/>
    <w:rsid w:val="004F1BB7"/>
    <w:rsid w:val="0050759C"/>
    <w:rsid w:val="005269A9"/>
    <w:rsid w:val="00546A42"/>
    <w:rsid w:val="0055408D"/>
    <w:rsid w:val="0057492D"/>
    <w:rsid w:val="00590819"/>
    <w:rsid w:val="00593D68"/>
    <w:rsid w:val="005A208B"/>
    <w:rsid w:val="005A7612"/>
    <w:rsid w:val="005C702E"/>
    <w:rsid w:val="005D01B8"/>
    <w:rsid w:val="005D066B"/>
    <w:rsid w:val="005F573A"/>
    <w:rsid w:val="005F7EB1"/>
    <w:rsid w:val="00604B81"/>
    <w:rsid w:val="00613417"/>
    <w:rsid w:val="0061545F"/>
    <w:rsid w:val="006175DE"/>
    <w:rsid w:val="006215AC"/>
    <w:rsid w:val="00621821"/>
    <w:rsid w:val="00622362"/>
    <w:rsid w:val="00622497"/>
    <w:rsid w:val="006276AD"/>
    <w:rsid w:val="006378D4"/>
    <w:rsid w:val="0064416A"/>
    <w:rsid w:val="0065365D"/>
    <w:rsid w:val="00664F6B"/>
    <w:rsid w:val="006731D2"/>
    <w:rsid w:val="00682986"/>
    <w:rsid w:val="00691701"/>
    <w:rsid w:val="00691AE0"/>
    <w:rsid w:val="0069491E"/>
    <w:rsid w:val="006B7878"/>
    <w:rsid w:val="006C14BD"/>
    <w:rsid w:val="006C28E5"/>
    <w:rsid w:val="006D393E"/>
    <w:rsid w:val="006D4AD8"/>
    <w:rsid w:val="006E0B58"/>
    <w:rsid w:val="006E0C4B"/>
    <w:rsid w:val="007110BA"/>
    <w:rsid w:val="00711465"/>
    <w:rsid w:val="00723B11"/>
    <w:rsid w:val="007343A7"/>
    <w:rsid w:val="00734BB2"/>
    <w:rsid w:val="0075028E"/>
    <w:rsid w:val="007608B9"/>
    <w:rsid w:val="007724B4"/>
    <w:rsid w:val="007916E7"/>
    <w:rsid w:val="00797C5D"/>
    <w:rsid w:val="00797D2F"/>
    <w:rsid w:val="007A34B9"/>
    <w:rsid w:val="007A6F47"/>
    <w:rsid w:val="007C4F46"/>
    <w:rsid w:val="007C7297"/>
    <w:rsid w:val="007D1B4F"/>
    <w:rsid w:val="007D2F9E"/>
    <w:rsid w:val="007D3175"/>
    <w:rsid w:val="007D48BF"/>
    <w:rsid w:val="007D5C45"/>
    <w:rsid w:val="007E2543"/>
    <w:rsid w:val="007E4A26"/>
    <w:rsid w:val="007F01B0"/>
    <w:rsid w:val="007F2CD8"/>
    <w:rsid w:val="007F4DC5"/>
    <w:rsid w:val="00806380"/>
    <w:rsid w:val="0081104F"/>
    <w:rsid w:val="00822299"/>
    <w:rsid w:val="0083486A"/>
    <w:rsid w:val="00841378"/>
    <w:rsid w:val="00842B87"/>
    <w:rsid w:val="00845BEB"/>
    <w:rsid w:val="008472E6"/>
    <w:rsid w:val="00853463"/>
    <w:rsid w:val="0086026F"/>
    <w:rsid w:val="008640F5"/>
    <w:rsid w:val="008907DA"/>
    <w:rsid w:val="008A0587"/>
    <w:rsid w:val="008B7726"/>
    <w:rsid w:val="008D429E"/>
    <w:rsid w:val="008D5A10"/>
    <w:rsid w:val="008E319F"/>
    <w:rsid w:val="008E619C"/>
    <w:rsid w:val="008F6E0E"/>
    <w:rsid w:val="00906F49"/>
    <w:rsid w:val="00914604"/>
    <w:rsid w:val="00923533"/>
    <w:rsid w:val="00930A38"/>
    <w:rsid w:val="00934170"/>
    <w:rsid w:val="00942948"/>
    <w:rsid w:val="009474B5"/>
    <w:rsid w:val="00972D86"/>
    <w:rsid w:val="009736BF"/>
    <w:rsid w:val="0097392B"/>
    <w:rsid w:val="00976066"/>
    <w:rsid w:val="00980A66"/>
    <w:rsid w:val="009904F7"/>
    <w:rsid w:val="009910F6"/>
    <w:rsid w:val="009A7058"/>
    <w:rsid w:val="009C6AD9"/>
    <w:rsid w:val="009E398C"/>
    <w:rsid w:val="009E6F05"/>
    <w:rsid w:val="00A10906"/>
    <w:rsid w:val="00A14EEF"/>
    <w:rsid w:val="00A61230"/>
    <w:rsid w:val="00A813C5"/>
    <w:rsid w:val="00A824E6"/>
    <w:rsid w:val="00A858DC"/>
    <w:rsid w:val="00A94D14"/>
    <w:rsid w:val="00AB19CE"/>
    <w:rsid w:val="00AB3969"/>
    <w:rsid w:val="00AC187B"/>
    <w:rsid w:val="00AE310E"/>
    <w:rsid w:val="00AE4FC5"/>
    <w:rsid w:val="00AF5F1F"/>
    <w:rsid w:val="00B027A4"/>
    <w:rsid w:val="00B236B3"/>
    <w:rsid w:val="00B26806"/>
    <w:rsid w:val="00B31B24"/>
    <w:rsid w:val="00B4287F"/>
    <w:rsid w:val="00B4315F"/>
    <w:rsid w:val="00B60DAB"/>
    <w:rsid w:val="00B7194E"/>
    <w:rsid w:val="00B763B0"/>
    <w:rsid w:val="00B93045"/>
    <w:rsid w:val="00BA4130"/>
    <w:rsid w:val="00BB2CAF"/>
    <w:rsid w:val="00BC3E74"/>
    <w:rsid w:val="00BD630F"/>
    <w:rsid w:val="00BD7C1B"/>
    <w:rsid w:val="00BF17FD"/>
    <w:rsid w:val="00BF41D4"/>
    <w:rsid w:val="00BF5AFB"/>
    <w:rsid w:val="00C16734"/>
    <w:rsid w:val="00C17B47"/>
    <w:rsid w:val="00C25C77"/>
    <w:rsid w:val="00C303E7"/>
    <w:rsid w:val="00C319C2"/>
    <w:rsid w:val="00C62E44"/>
    <w:rsid w:val="00C63BD8"/>
    <w:rsid w:val="00C65954"/>
    <w:rsid w:val="00C7126B"/>
    <w:rsid w:val="00C72C24"/>
    <w:rsid w:val="00C73468"/>
    <w:rsid w:val="00C80EC4"/>
    <w:rsid w:val="00C8568E"/>
    <w:rsid w:val="00CC584A"/>
    <w:rsid w:val="00CC5E4E"/>
    <w:rsid w:val="00CD0EAB"/>
    <w:rsid w:val="00CE2AF3"/>
    <w:rsid w:val="00CE621D"/>
    <w:rsid w:val="00CE66E8"/>
    <w:rsid w:val="00D05388"/>
    <w:rsid w:val="00D114CD"/>
    <w:rsid w:val="00D14476"/>
    <w:rsid w:val="00D232FF"/>
    <w:rsid w:val="00D279AA"/>
    <w:rsid w:val="00D34544"/>
    <w:rsid w:val="00D44A97"/>
    <w:rsid w:val="00D45C0C"/>
    <w:rsid w:val="00D508A5"/>
    <w:rsid w:val="00D5104B"/>
    <w:rsid w:val="00D555D8"/>
    <w:rsid w:val="00D60778"/>
    <w:rsid w:val="00D64D28"/>
    <w:rsid w:val="00D6604D"/>
    <w:rsid w:val="00D677F1"/>
    <w:rsid w:val="00D74601"/>
    <w:rsid w:val="00D83E46"/>
    <w:rsid w:val="00D847B6"/>
    <w:rsid w:val="00DA6169"/>
    <w:rsid w:val="00DB5480"/>
    <w:rsid w:val="00DB6317"/>
    <w:rsid w:val="00DC5AD9"/>
    <w:rsid w:val="00DC691F"/>
    <w:rsid w:val="00DD02DE"/>
    <w:rsid w:val="00DD07B7"/>
    <w:rsid w:val="00DD113C"/>
    <w:rsid w:val="00DE0BEB"/>
    <w:rsid w:val="00DE4856"/>
    <w:rsid w:val="00DF485B"/>
    <w:rsid w:val="00E21B77"/>
    <w:rsid w:val="00E40CAD"/>
    <w:rsid w:val="00E61D2E"/>
    <w:rsid w:val="00E62B7F"/>
    <w:rsid w:val="00E726BC"/>
    <w:rsid w:val="00E72821"/>
    <w:rsid w:val="00E81DDC"/>
    <w:rsid w:val="00E81F67"/>
    <w:rsid w:val="00E83650"/>
    <w:rsid w:val="00E83A31"/>
    <w:rsid w:val="00E97CC0"/>
    <w:rsid w:val="00EA2524"/>
    <w:rsid w:val="00EC092D"/>
    <w:rsid w:val="00EC0DF8"/>
    <w:rsid w:val="00ED378B"/>
    <w:rsid w:val="00EE08F9"/>
    <w:rsid w:val="00EF728A"/>
    <w:rsid w:val="00EF7D0D"/>
    <w:rsid w:val="00F00FF7"/>
    <w:rsid w:val="00F02093"/>
    <w:rsid w:val="00F068E3"/>
    <w:rsid w:val="00F10B5F"/>
    <w:rsid w:val="00F218C1"/>
    <w:rsid w:val="00F321EB"/>
    <w:rsid w:val="00F346CF"/>
    <w:rsid w:val="00F3610C"/>
    <w:rsid w:val="00F52A5F"/>
    <w:rsid w:val="00F55954"/>
    <w:rsid w:val="00F61962"/>
    <w:rsid w:val="00F62865"/>
    <w:rsid w:val="00F64022"/>
    <w:rsid w:val="00F64660"/>
    <w:rsid w:val="00F97062"/>
    <w:rsid w:val="00F9745D"/>
    <w:rsid w:val="00FC7B53"/>
    <w:rsid w:val="00FD48CC"/>
    <w:rsid w:val="00FE62D1"/>
    <w:rsid w:val="00FF26BF"/>
    <w:rsid w:val="018023CE"/>
    <w:rsid w:val="01881AD6"/>
    <w:rsid w:val="02A741FD"/>
    <w:rsid w:val="02C16E5D"/>
    <w:rsid w:val="02D964CF"/>
    <w:rsid w:val="03707410"/>
    <w:rsid w:val="03A0770F"/>
    <w:rsid w:val="03A448B8"/>
    <w:rsid w:val="04DF1036"/>
    <w:rsid w:val="05A97DEC"/>
    <w:rsid w:val="05C81981"/>
    <w:rsid w:val="06BC41F2"/>
    <w:rsid w:val="07197D08"/>
    <w:rsid w:val="071E5C55"/>
    <w:rsid w:val="077005AB"/>
    <w:rsid w:val="078F4581"/>
    <w:rsid w:val="07BF027F"/>
    <w:rsid w:val="08031A31"/>
    <w:rsid w:val="09061A75"/>
    <w:rsid w:val="09182241"/>
    <w:rsid w:val="09855177"/>
    <w:rsid w:val="0AA534D5"/>
    <w:rsid w:val="0AA650EB"/>
    <w:rsid w:val="0AF47339"/>
    <w:rsid w:val="0B22594B"/>
    <w:rsid w:val="0BDF26F7"/>
    <w:rsid w:val="0C2B4952"/>
    <w:rsid w:val="0C7B2220"/>
    <w:rsid w:val="0D133046"/>
    <w:rsid w:val="0D890E47"/>
    <w:rsid w:val="0DC64A00"/>
    <w:rsid w:val="0DFC60BA"/>
    <w:rsid w:val="0F7C5FF6"/>
    <w:rsid w:val="0FC63FBD"/>
    <w:rsid w:val="106C564D"/>
    <w:rsid w:val="107B7B8F"/>
    <w:rsid w:val="107C67CE"/>
    <w:rsid w:val="109D68CB"/>
    <w:rsid w:val="10A949B8"/>
    <w:rsid w:val="11200D07"/>
    <w:rsid w:val="11535557"/>
    <w:rsid w:val="11DA73AF"/>
    <w:rsid w:val="12C60D80"/>
    <w:rsid w:val="131F7A3A"/>
    <w:rsid w:val="132645D0"/>
    <w:rsid w:val="13455ABC"/>
    <w:rsid w:val="1370322B"/>
    <w:rsid w:val="143B2E0B"/>
    <w:rsid w:val="14892735"/>
    <w:rsid w:val="14CC769D"/>
    <w:rsid w:val="15C913DA"/>
    <w:rsid w:val="15D359D7"/>
    <w:rsid w:val="163C77BE"/>
    <w:rsid w:val="1679588C"/>
    <w:rsid w:val="16994962"/>
    <w:rsid w:val="16A71041"/>
    <w:rsid w:val="16AA24BF"/>
    <w:rsid w:val="17680CAB"/>
    <w:rsid w:val="176E4128"/>
    <w:rsid w:val="1783371F"/>
    <w:rsid w:val="17E62B67"/>
    <w:rsid w:val="180F4499"/>
    <w:rsid w:val="18221ECE"/>
    <w:rsid w:val="183C3D90"/>
    <w:rsid w:val="1A460CF5"/>
    <w:rsid w:val="1A7F297D"/>
    <w:rsid w:val="1AB16AC1"/>
    <w:rsid w:val="1B034A52"/>
    <w:rsid w:val="1C750ECE"/>
    <w:rsid w:val="1D196139"/>
    <w:rsid w:val="1E010AF7"/>
    <w:rsid w:val="1E124563"/>
    <w:rsid w:val="1E301173"/>
    <w:rsid w:val="1F43381C"/>
    <w:rsid w:val="1FA4148D"/>
    <w:rsid w:val="20121621"/>
    <w:rsid w:val="204E554F"/>
    <w:rsid w:val="20590035"/>
    <w:rsid w:val="20FC799E"/>
    <w:rsid w:val="22154DDD"/>
    <w:rsid w:val="22336873"/>
    <w:rsid w:val="23BB4E7D"/>
    <w:rsid w:val="23C172D6"/>
    <w:rsid w:val="23EA5BF1"/>
    <w:rsid w:val="23F04F64"/>
    <w:rsid w:val="24814CBE"/>
    <w:rsid w:val="24AC168B"/>
    <w:rsid w:val="258C3BEC"/>
    <w:rsid w:val="25E5427A"/>
    <w:rsid w:val="263B1230"/>
    <w:rsid w:val="26A5029C"/>
    <w:rsid w:val="27B36A67"/>
    <w:rsid w:val="2846581F"/>
    <w:rsid w:val="286602C8"/>
    <w:rsid w:val="28665C95"/>
    <w:rsid w:val="28F579BA"/>
    <w:rsid w:val="290B3EB9"/>
    <w:rsid w:val="2950768C"/>
    <w:rsid w:val="297A5FC4"/>
    <w:rsid w:val="29BB081E"/>
    <w:rsid w:val="2A8D4F8F"/>
    <w:rsid w:val="2A9040F5"/>
    <w:rsid w:val="2A917B34"/>
    <w:rsid w:val="2AE3766F"/>
    <w:rsid w:val="2B7E4054"/>
    <w:rsid w:val="2C987C56"/>
    <w:rsid w:val="2CFF149A"/>
    <w:rsid w:val="2D201865"/>
    <w:rsid w:val="2D4B5CEA"/>
    <w:rsid w:val="2D652658"/>
    <w:rsid w:val="2DC80C49"/>
    <w:rsid w:val="2DCA6355"/>
    <w:rsid w:val="2E166748"/>
    <w:rsid w:val="2E556F01"/>
    <w:rsid w:val="2E8E20B4"/>
    <w:rsid w:val="2ED06066"/>
    <w:rsid w:val="2ED1223D"/>
    <w:rsid w:val="2F000139"/>
    <w:rsid w:val="2F9F42DC"/>
    <w:rsid w:val="2FF37AB3"/>
    <w:rsid w:val="31170995"/>
    <w:rsid w:val="31264A30"/>
    <w:rsid w:val="31884E67"/>
    <w:rsid w:val="31A0275E"/>
    <w:rsid w:val="32AB70C5"/>
    <w:rsid w:val="335D0AF5"/>
    <w:rsid w:val="3370088C"/>
    <w:rsid w:val="33A83C11"/>
    <w:rsid w:val="33DC2F78"/>
    <w:rsid w:val="3428227C"/>
    <w:rsid w:val="35602226"/>
    <w:rsid w:val="356B72E7"/>
    <w:rsid w:val="3572424F"/>
    <w:rsid w:val="36AD519D"/>
    <w:rsid w:val="36B57705"/>
    <w:rsid w:val="37A103ED"/>
    <w:rsid w:val="37EA5E6E"/>
    <w:rsid w:val="37FF016F"/>
    <w:rsid w:val="387C5ABE"/>
    <w:rsid w:val="38EB6119"/>
    <w:rsid w:val="3A51228C"/>
    <w:rsid w:val="3A552E60"/>
    <w:rsid w:val="3A5D642F"/>
    <w:rsid w:val="3AB210FC"/>
    <w:rsid w:val="3B793A48"/>
    <w:rsid w:val="3BCD72F7"/>
    <w:rsid w:val="3C3D3625"/>
    <w:rsid w:val="3C414142"/>
    <w:rsid w:val="3CF737A2"/>
    <w:rsid w:val="3D10295A"/>
    <w:rsid w:val="3E0572FD"/>
    <w:rsid w:val="3E5A7FE7"/>
    <w:rsid w:val="3EF66B2E"/>
    <w:rsid w:val="3F217914"/>
    <w:rsid w:val="3FD70BB0"/>
    <w:rsid w:val="3FFB55AC"/>
    <w:rsid w:val="401C5F9D"/>
    <w:rsid w:val="401C690C"/>
    <w:rsid w:val="401D7195"/>
    <w:rsid w:val="40CE3DC0"/>
    <w:rsid w:val="40D7455A"/>
    <w:rsid w:val="40E743E5"/>
    <w:rsid w:val="412D5EA0"/>
    <w:rsid w:val="41734CBA"/>
    <w:rsid w:val="420F7A65"/>
    <w:rsid w:val="4216611A"/>
    <w:rsid w:val="423E300F"/>
    <w:rsid w:val="425656C8"/>
    <w:rsid w:val="4257273C"/>
    <w:rsid w:val="42FD694D"/>
    <w:rsid w:val="43FA5777"/>
    <w:rsid w:val="441C1611"/>
    <w:rsid w:val="443C440B"/>
    <w:rsid w:val="44514F52"/>
    <w:rsid w:val="44FA2D53"/>
    <w:rsid w:val="4571374F"/>
    <w:rsid w:val="458B1BB0"/>
    <w:rsid w:val="467A0297"/>
    <w:rsid w:val="468B7125"/>
    <w:rsid w:val="46C4691F"/>
    <w:rsid w:val="479D1D34"/>
    <w:rsid w:val="47B609C0"/>
    <w:rsid w:val="482D31EA"/>
    <w:rsid w:val="485970A0"/>
    <w:rsid w:val="48823516"/>
    <w:rsid w:val="48B65C71"/>
    <w:rsid w:val="492E6A57"/>
    <w:rsid w:val="4A0030EE"/>
    <w:rsid w:val="4B8C2DEB"/>
    <w:rsid w:val="4BFA3C9F"/>
    <w:rsid w:val="4C107F48"/>
    <w:rsid w:val="4C3277BC"/>
    <w:rsid w:val="4CC353EB"/>
    <w:rsid w:val="4CF36F3C"/>
    <w:rsid w:val="4D603399"/>
    <w:rsid w:val="4D867EE1"/>
    <w:rsid w:val="4DBC4C65"/>
    <w:rsid w:val="4E550010"/>
    <w:rsid w:val="4E5F14CB"/>
    <w:rsid w:val="4F3705F8"/>
    <w:rsid w:val="4F402431"/>
    <w:rsid w:val="4FAC3540"/>
    <w:rsid w:val="4FCF1583"/>
    <w:rsid w:val="4FFA7625"/>
    <w:rsid w:val="507D2599"/>
    <w:rsid w:val="5096229D"/>
    <w:rsid w:val="50DC4184"/>
    <w:rsid w:val="514C3EA7"/>
    <w:rsid w:val="52AC4ABC"/>
    <w:rsid w:val="539C1B81"/>
    <w:rsid w:val="53A447B1"/>
    <w:rsid w:val="53AE750F"/>
    <w:rsid w:val="53B900E4"/>
    <w:rsid w:val="53E16022"/>
    <w:rsid w:val="549A6BFA"/>
    <w:rsid w:val="55FA2961"/>
    <w:rsid w:val="565E7F4F"/>
    <w:rsid w:val="56914056"/>
    <w:rsid w:val="57D0772E"/>
    <w:rsid w:val="57F65317"/>
    <w:rsid w:val="57FC2169"/>
    <w:rsid w:val="58096275"/>
    <w:rsid w:val="582E6EF7"/>
    <w:rsid w:val="584E30E6"/>
    <w:rsid w:val="597B384D"/>
    <w:rsid w:val="59996DA8"/>
    <w:rsid w:val="59C30F1B"/>
    <w:rsid w:val="5AC7121C"/>
    <w:rsid w:val="5AD90B8D"/>
    <w:rsid w:val="5AE12927"/>
    <w:rsid w:val="5B4E1A44"/>
    <w:rsid w:val="5B873201"/>
    <w:rsid w:val="5B967767"/>
    <w:rsid w:val="5C286807"/>
    <w:rsid w:val="5C446BC8"/>
    <w:rsid w:val="5C7C2768"/>
    <w:rsid w:val="5CB23AE6"/>
    <w:rsid w:val="5D0D6DF5"/>
    <w:rsid w:val="5D893B14"/>
    <w:rsid w:val="5EA06921"/>
    <w:rsid w:val="5FBE370A"/>
    <w:rsid w:val="60292845"/>
    <w:rsid w:val="612E1A5D"/>
    <w:rsid w:val="61816046"/>
    <w:rsid w:val="62391564"/>
    <w:rsid w:val="62816669"/>
    <w:rsid w:val="62BA0953"/>
    <w:rsid w:val="62D03A7C"/>
    <w:rsid w:val="62F648FE"/>
    <w:rsid w:val="63A10995"/>
    <w:rsid w:val="63C23EFA"/>
    <w:rsid w:val="643A070A"/>
    <w:rsid w:val="644C573D"/>
    <w:rsid w:val="65032F85"/>
    <w:rsid w:val="65136B50"/>
    <w:rsid w:val="657E2A35"/>
    <w:rsid w:val="65A94E9D"/>
    <w:rsid w:val="65C60A92"/>
    <w:rsid w:val="66A12460"/>
    <w:rsid w:val="66DD6702"/>
    <w:rsid w:val="682A2352"/>
    <w:rsid w:val="68AD17BB"/>
    <w:rsid w:val="68D94D22"/>
    <w:rsid w:val="692B2E4A"/>
    <w:rsid w:val="696A0B34"/>
    <w:rsid w:val="698D6A17"/>
    <w:rsid w:val="69F954C1"/>
    <w:rsid w:val="6A2031B6"/>
    <w:rsid w:val="6AC61F6F"/>
    <w:rsid w:val="6ADE74F0"/>
    <w:rsid w:val="6B723594"/>
    <w:rsid w:val="6B805156"/>
    <w:rsid w:val="6BD50977"/>
    <w:rsid w:val="6CAA3931"/>
    <w:rsid w:val="6D3933CA"/>
    <w:rsid w:val="6D7B61EC"/>
    <w:rsid w:val="6E09491E"/>
    <w:rsid w:val="6E0D3655"/>
    <w:rsid w:val="6E5F4465"/>
    <w:rsid w:val="6E8C54DA"/>
    <w:rsid w:val="6EF11E03"/>
    <w:rsid w:val="6F111C62"/>
    <w:rsid w:val="6F2176E5"/>
    <w:rsid w:val="6F592303"/>
    <w:rsid w:val="6F5F5B74"/>
    <w:rsid w:val="6F9B1C65"/>
    <w:rsid w:val="6FFB146E"/>
    <w:rsid w:val="706516C3"/>
    <w:rsid w:val="70896E68"/>
    <w:rsid w:val="70FB4B63"/>
    <w:rsid w:val="715B60E9"/>
    <w:rsid w:val="71EA1FED"/>
    <w:rsid w:val="730313F6"/>
    <w:rsid w:val="73370D24"/>
    <w:rsid w:val="7359268C"/>
    <w:rsid w:val="739503EB"/>
    <w:rsid w:val="73A05B28"/>
    <w:rsid w:val="73C07D69"/>
    <w:rsid w:val="74B42AE4"/>
    <w:rsid w:val="750A429D"/>
    <w:rsid w:val="75614792"/>
    <w:rsid w:val="75784473"/>
    <w:rsid w:val="75B161B3"/>
    <w:rsid w:val="76736B32"/>
    <w:rsid w:val="76E3765E"/>
    <w:rsid w:val="76FC2AFA"/>
    <w:rsid w:val="77653671"/>
    <w:rsid w:val="778546CC"/>
    <w:rsid w:val="77B56730"/>
    <w:rsid w:val="77C04A8B"/>
    <w:rsid w:val="77D85DB3"/>
    <w:rsid w:val="78A50513"/>
    <w:rsid w:val="796518DD"/>
    <w:rsid w:val="79AA0532"/>
    <w:rsid w:val="79FE1DDD"/>
    <w:rsid w:val="7A075767"/>
    <w:rsid w:val="7A212062"/>
    <w:rsid w:val="7A282A11"/>
    <w:rsid w:val="7A3A59B8"/>
    <w:rsid w:val="7AC21562"/>
    <w:rsid w:val="7AD474A4"/>
    <w:rsid w:val="7B8D34C3"/>
    <w:rsid w:val="7B971D84"/>
    <w:rsid w:val="7BF32F03"/>
    <w:rsid w:val="7C1724A5"/>
    <w:rsid w:val="7CA54112"/>
    <w:rsid w:val="7CE50CE4"/>
    <w:rsid w:val="7D2E5ABF"/>
    <w:rsid w:val="7E2142A2"/>
    <w:rsid w:val="7E7B0BF2"/>
    <w:rsid w:val="7E8D75B6"/>
    <w:rsid w:val="7EF76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2"/>
    <w:basedOn w:val="1"/>
    <w:next w:val="1"/>
    <w:link w:val="2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2"/>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4"/>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before="161"/>
      <w:ind w:left="120"/>
    </w:pPr>
    <w:rPr>
      <w:rFonts w:ascii="宋体" w:hAnsi="宋体" w:eastAsia="宋体" w:cs="宋体"/>
      <w:sz w:val="24"/>
      <w:lang w:val="zh-CN" w:bidi="zh-CN"/>
    </w:rPr>
  </w:style>
  <w:style w:type="paragraph" w:styleId="6">
    <w:name w:val="annotation text"/>
    <w:basedOn w:val="1"/>
    <w:semiHidden/>
    <w:unhideWhenUsed/>
    <w:qFormat/>
    <w:uiPriority w:val="99"/>
    <w:pPr>
      <w:jc w:val="left"/>
    </w:pPr>
  </w:style>
  <w:style w:type="paragraph" w:styleId="7">
    <w:name w:val="toc 3"/>
    <w:basedOn w:val="1"/>
    <w:next w:val="1"/>
    <w:unhideWhenUsed/>
    <w:qFormat/>
    <w:uiPriority w:val="39"/>
    <w:pPr>
      <w:tabs>
        <w:tab w:val="right" w:leader="dot" w:pos="8296"/>
      </w:tabs>
      <w:ind w:left="838" w:leftChars="381"/>
    </w:pPr>
    <w:rPr>
      <w:sz w:val="21"/>
      <w:szCs w:val="21"/>
    </w:rPr>
  </w:style>
  <w:style w:type="paragraph" w:styleId="8">
    <w:name w:val="Plain Text"/>
    <w:basedOn w:val="1"/>
    <w:link w:val="35"/>
    <w:qFormat/>
    <w:uiPriority w:val="0"/>
    <w:pPr>
      <w:widowControl w:val="0"/>
      <w:adjustRightInd/>
      <w:snapToGrid/>
      <w:spacing w:after="0"/>
      <w:jc w:val="both"/>
    </w:pPr>
    <w:rPr>
      <w:rFonts w:ascii="宋体" w:hAnsi="Courier New" w:eastAsia="宋体" w:cs="Times New Roman"/>
      <w:b/>
      <w:kern w:val="2"/>
      <w:sz w:val="21"/>
      <w:szCs w:val="20"/>
    </w:rPr>
  </w:style>
  <w:style w:type="paragraph" w:styleId="9">
    <w:name w:val="Balloon Text"/>
    <w:basedOn w:val="1"/>
    <w:link w:val="38"/>
    <w:semiHidden/>
    <w:unhideWhenUsed/>
    <w:qFormat/>
    <w:uiPriority w:val="99"/>
    <w:pPr>
      <w:spacing w:after="0"/>
    </w:pPr>
    <w:rPr>
      <w:sz w:val="18"/>
      <w:szCs w:val="18"/>
    </w:rPr>
  </w:style>
  <w:style w:type="paragraph" w:styleId="10">
    <w:name w:val="footer"/>
    <w:basedOn w:val="1"/>
    <w:link w:val="37"/>
    <w:unhideWhenUsed/>
    <w:qFormat/>
    <w:uiPriority w:val="99"/>
    <w:pPr>
      <w:tabs>
        <w:tab w:val="center" w:pos="4153"/>
        <w:tab w:val="right" w:pos="8306"/>
      </w:tabs>
    </w:pPr>
    <w:rPr>
      <w:sz w:val="18"/>
      <w:szCs w:val="18"/>
    </w:rPr>
  </w:style>
  <w:style w:type="paragraph" w:styleId="11">
    <w:name w:val="header"/>
    <w:basedOn w:val="1"/>
    <w:link w:val="36"/>
    <w:unhideWhenUsed/>
    <w:qFormat/>
    <w:uiPriority w:val="99"/>
    <w:pPr>
      <w:pBdr>
        <w:bottom w:val="single" w:color="auto" w:sz="6" w:space="1"/>
      </w:pBdr>
      <w:tabs>
        <w:tab w:val="center" w:pos="4153"/>
        <w:tab w:val="right" w:pos="8306"/>
      </w:tabs>
      <w:jc w:val="center"/>
    </w:pPr>
    <w:rPr>
      <w:sz w:val="18"/>
      <w:szCs w:val="18"/>
    </w:rPr>
  </w:style>
  <w:style w:type="paragraph" w:styleId="12">
    <w:name w:val="toc 1"/>
    <w:basedOn w:val="1"/>
    <w:next w:val="1"/>
    <w:semiHidden/>
    <w:unhideWhenUsed/>
    <w:qFormat/>
    <w:uiPriority w:val="39"/>
  </w:style>
  <w:style w:type="paragraph" w:styleId="13">
    <w:name w:val="toc 4"/>
    <w:basedOn w:val="1"/>
    <w:next w:val="1"/>
    <w:unhideWhenUsed/>
    <w:qFormat/>
    <w:uiPriority w:val="39"/>
    <w:pPr>
      <w:tabs>
        <w:tab w:val="right" w:leader="dot" w:pos="8296"/>
      </w:tabs>
      <w:spacing w:after="120"/>
      <w:ind w:left="1320" w:leftChars="600"/>
    </w:pPr>
  </w:style>
  <w:style w:type="paragraph" w:styleId="14">
    <w:name w:val="toc 2"/>
    <w:basedOn w:val="1"/>
    <w:next w:val="1"/>
    <w:unhideWhenUsed/>
    <w:qFormat/>
    <w:uiPriority w:val="39"/>
    <w:pPr>
      <w:tabs>
        <w:tab w:val="right" w:leader="dot" w:pos="8296"/>
      </w:tabs>
      <w:spacing w:after="0" w:line="360" w:lineRule="auto"/>
      <w:ind w:left="440" w:leftChars="200"/>
      <w:jc w:val="center"/>
    </w:pPr>
    <w:rPr>
      <w:rFonts w:ascii="宋体" w:hAnsi="宋体" w:eastAsia="宋体"/>
      <w:sz w:val="30"/>
      <w:szCs w:val="30"/>
    </w:rPr>
  </w:style>
  <w:style w:type="paragraph" w:styleId="15">
    <w:name w:val="Normal (Web)"/>
    <w:basedOn w:val="1"/>
    <w:link w:val="40"/>
    <w:qFormat/>
    <w:uiPriority w:val="0"/>
    <w:pPr>
      <w:widowControl w:val="0"/>
      <w:adjustRightInd/>
      <w:snapToGrid/>
      <w:spacing w:after="0"/>
      <w:jc w:val="both"/>
    </w:pPr>
    <w:rPr>
      <w:rFonts w:eastAsia="宋体" w:asciiTheme="minorHAnsi" w:hAnsiTheme="minorHAnsi"/>
      <w:kern w:val="2"/>
      <w:sz w:val="24"/>
      <w:szCs w:val="24"/>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Emphasis"/>
    <w:basedOn w:val="18"/>
    <w:qFormat/>
    <w:uiPriority w:val="20"/>
    <w:rPr>
      <w:i/>
      <w:iCs/>
    </w:rPr>
  </w:style>
  <w:style w:type="character" w:styleId="20">
    <w:name w:val="Hyperlink"/>
    <w:qFormat/>
    <w:uiPriority w:val="99"/>
    <w:rPr>
      <w:rFonts w:hint="eastAsia" w:ascii="宋体" w:hAnsi="宋体" w:eastAsia="宋体" w:cs="宋体"/>
      <w:b/>
      <w:color w:val="0031C1"/>
      <w:kern w:val="0"/>
      <w:sz w:val="18"/>
      <w:szCs w:val="18"/>
      <w:u w:val="none"/>
      <w:lang w:eastAsia="en-US"/>
    </w:rPr>
  </w:style>
  <w:style w:type="character" w:customStyle="1" w:styleId="21">
    <w:name w:val="标题 2 字符"/>
    <w:basedOn w:val="18"/>
    <w:link w:val="3"/>
    <w:qFormat/>
    <w:uiPriority w:val="9"/>
    <w:rPr>
      <w:rFonts w:asciiTheme="majorHAnsi" w:hAnsiTheme="majorHAnsi" w:eastAsiaTheme="majorEastAsia" w:cstheme="majorBidi"/>
      <w:b/>
      <w:bCs/>
      <w:sz w:val="32"/>
      <w:szCs w:val="32"/>
    </w:rPr>
  </w:style>
  <w:style w:type="character" w:customStyle="1" w:styleId="22">
    <w:name w:val="标题 3 字符"/>
    <w:basedOn w:val="18"/>
    <w:link w:val="4"/>
    <w:qFormat/>
    <w:uiPriority w:val="9"/>
    <w:rPr>
      <w:rFonts w:ascii="Tahoma" w:hAnsi="Tahoma"/>
      <w:b/>
      <w:bCs/>
      <w:sz w:val="32"/>
      <w:szCs w:val="32"/>
    </w:rPr>
  </w:style>
  <w:style w:type="paragraph" w:styleId="23">
    <w:name w:val="List Paragraph"/>
    <w:basedOn w:val="1"/>
    <w:qFormat/>
    <w:uiPriority w:val="34"/>
    <w:pPr>
      <w:ind w:firstLine="420" w:firstLineChars="200"/>
    </w:pPr>
  </w:style>
  <w:style w:type="character" w:customStyle="1" w:styleId="24">
    <w:name w:val="标题 4 字符"/>
    <w:basedOn w:val="18"/>
    <w:link w:val="5"/>
    <w:qFormat/>
    <w:uiPriority w:val="9"/>
    <w:rPr>
      <w:rFonts w:asciiTheme="majorHAnsi" w:hAnsiTheme="majorHAnsi" w:eastAsiaTheme="majorEastAsia" w:cstheme="majorBidi"/>
      <w:b/>
      <w:bCs/>
      <w:sz w:val="28"/>
      <w:szCs w:val="28"/>
    </w:rPr>
  </w:style>
  <w:style w:type="character" w:customStyle="1" w:styleId="25">
    <w:name w:val="正文缩进2格 Char"/>
    <w:link w:val="26"/>
    <w:qFormat/>
    <w:uiPriority w:val="0"/>
    <w:rPr>
      <w:rFonts w:ascii="仿宋_GB2312" w:hAnsi="宋体" w:eastAsia="仿宋_GB2312"/>
      <w:kern w:val="2"/>
      <w:sz w:val="31"/>
    </w:rPr>
  </w:style>
  <w:style w:type="paragraph" w:customStyle="1" w:styleId="26">
    <w:name w:val="正文缩进2格"/>
    <w:basedOn w:val="1"/>
    <w:link w:val="25"/>
    <w:qFormat/>
    <w:uiPriority w:val="0"/>
    <w:pPr>
      <w:widowControl w:val="0"/>
      <w:adjustRightInd/>
      <w:snapToGrid/>
      <w:spacing w:after="0" w:line="600" w:lineRule="exact"/>
      <w:ind w:firstLine="639" w:firstLineChars="206"/>
      <w:jc w:val="both"/>
    </w:pPr>
    <w:rPr>
      <w:rFonts w:ascii="仿宋_GB2312" w:hAnsi="宋体" w:eastAsia="仿宋_GB2312"/>
      <w:kern w:val="2"/>
      <w:sz w:val="31"/>
    </w:rPr>
  </w:style>
  <w:style w:type="paragraph" w:customStyle="1" w:styleId="27">
    <w:name w:val="正文缩进4格"/>
    <w:basedOn w:val="26"/>
    <w:qFormat/>
    <w:uiPriority w:val="0"/>
    <w:pPr>
      <w:ind w:left="2" w:firstLine="538" w:firstLineChars="192"/>
    </w:pPr>
    <w:rPr>
      <w:color w:val="0000FF"/>
      <w:sz w:val="28"/>
    </w:rPr>
  </w:style>
  <w:style w:type="character" w:customStyle="1" w:styleId="28">
    <w:name w:val="正文缩进2格 Char Char"/>
    <w:qFormat/>
    <w:uiPriority w:val="0"/>
    <w:rPr>
      <w:rFonts w:ascii="仿宋_GB2312" w:hAnsi="宋体" w:eastAsia="仿宋_GB2312" w:cs="Times New Roman"/>
      <w:b/>
      <w:kern w:val="2"/>
      <w:sz w:val="31"/>
      <w:szCs w:val="28"/>
      <w:lang w:val="en-US" w:eastAsia="zh-CN" w:bidi="ar-SA"/>
    </w:rPr>
  </w:style>
  <w:style w:type="paragraph" w:customStyle="1" w:styleId="29">
    <w:name w:val="_Style 3"/>
    <w:basedOn w:val="1"/>
    <w:qFormat/>
    <w:uiPriority w:val="0"/>
    <w:pPr>
      <w:widowControl w:val="0"/>
      <w:adjustRightInd/>
      <w:snapToGrid/>
      <w:spacing w:after="0"/>
      <w:ind w:firstLine="420" w:firstLineChars="200"/>
      <w:jc w:val="both"/>
    </w:pPr>
    <w:rPr>
      <w:rFonts w:ascii="Times New Roman" w:hAnsi="Times New Roman" w:eastAsia="宋体" w:cs="Times New Roman"/>
      <w:kern w:val="2"/>
      <w:sz w:val="21"/>
      <w:szCs w:val="24"/>
    </w:rPr>
  </w:style>
  <w:style w:type="character" w:customStyle="1" w:styleId="30">
    <w:name w:val="标题1"/>
    <w:qFormat/>
    <w:uiPriority w:val="0"/>
    <w:rPr>
      <w:rFonts w:ascii="Times New Roman" w:hAnsi="Times New Roman" w:eastAsia="宋体" w:cs="Times New Roman"/>
      <w:b/>
      <w:kern w:val="0"/>
      <w:sz w:val="24"/>
      <w:szCs w:val="20"/>
      <w:lang w:eastAsia="en-US"/>
    </w:rPr>
  </w:style>
  <w:style w:type="character" w:customStyle="1" w:styleId="31">
    <w:name w:val="标题 3.1 Char"/>
    <w:link w:val="32"/>
    <w:qFormat/>
    <w:uiPriority w:val="0"/>
    <w:rPr>
      <w:rFonts w:ascii="宋体" w:hAnsi="宋体" w:eastAsia="宋体"/>
      <w:b/>
      <w:color w:val="FF0000"/>
      <w:kern w:val="2"/>
      <w:sz w:val="32"/>
    </w:rPr>
  </w:style>
  <w:style w:type="paragraph" w:customStyle="1" w:styleId="32">
    <w:name w:val="标题 3.1"/>
    <w:basedOn w:val="4"/>
    <w:link w:val="31"/>
    <w:qFormat/>
    <w:uiPriority w:val="0"/>
    <w:pPr>
      <w:widowControl w:val="0"/>
      <w:tabs>
        <w:tab w:val="left" w:pos="1440"/>
        <w:tab w:val="left" w:pos="1620"/>
      </w:tabs>
      <w:adjustRightInd/>
      <w:snapToGrid/>
      <w:spacing w:line="600" w:lineRule="exact"/>
      <w:jc w:val="both"/>
    </w:pPr>
    <w:rPr>
      <w:rFonts w:ascii="宋体" w:hAnsi="宋体" w:eastAsia="宋体"/>
      <w:bCs w:val="0"/>
      <w:color w:val="FF0000"/>
      <w:kern w:val="2"/>
      <w:szCs w:val="22"/>
    </w:rPr>
  </w:style>
  <w:style w:type="character" w:customStyle="1" w:styleId="33">
    <w:name w:val="样式 楷体_GB2312 小四"/>
    <w:qFormat/>
    <w:uiPriority w:val="0"/>
    <w:rPr>
      <w:rFonts w:ascii="楷体_GB2312" w:hAnsi="楷体_GB2312" w:eastAsia="仿宋_GB2312"/>
      <w:sz w:val="24"/>
    </w:rPr>
  </w:style>
  <w:style w:type="character" w:customStyle="1" w:styleId="34">
    <w:name w:val="纯文本 Char"/>
    <w:qFormat/>
    <w:uiPriority w:val="0"/>
    <w:rPr>
      <w:rFonts w:ascii="宋体" w:hAnsi="Courier New" w:eastAsia="宋体" w:cs="Times New Roman"/>
      <w:b/>
      <w:kern w:val="2"/>
      <w:sz w:val="21"/>
      <w:szCs w:val="20"/>
    </w:rPr>
  </w:style>
  <w:style w:type="character" w:customStyle="1" w:styleId="35">
    <w:name w:val="纯文本 字符"/>
    <w:basedOn w:val="18"/>
    <w:link w:val="8"/>
    <w:semiHidden/>
    <w:qFormat/>
    <w:uiPriority w:val="99"/>
    <w:rPr>
      <w:rFonts w:ascii="宋体" w:hAnsi="Courier New" w:eastAsia="宋体" w:cs="Courier New"/>
      <w:sz w:val="21"/>
      <w:szCs w:val="21"/>
    </w:rPr>
  </w:style>
  <w:style w:type="character" w:customStyle="1" w:styleId="36">
    <w:name w:val="页眉 字符"/>
    <w:basedOn w:val="18"/>
    <w:link w:val="11"/>
    <w:qFormat/>
    <w:uiPriority w:val="99"/>
    <w:rPr>
      <w:rFonts w:ascii="Tahoma" w:hAnsi="Tahoma"/>
      <w:sz w:val="18"/>
      <w:szCs w:val="18"/>
    </w:rPr>
  </w:style>
  <w:style w:type="character" w:customStyle="1" w:styleId="37">
    <w:name w:val="页脚 字符"/>
    <w:basedOn w:val="18"/>
    <w:link w:val="10"/>
    <w:qFormat/>
    <w:uiPriority w:val="99"/>
    <w:rPr>
      <w:rFonts w:ascii="Tahoma" w:hAnsi="Tahoma"/>
      <w:sz w:val="18"/>
      <w:szCs w:val="18"/>
    </w:rPr>
  </w:style>
  <w:style w:type="character" w:customStyle="1" w:styleId="38">
    <w:name w:val="批注框文本 字符"/>
    <w:basedOn w:val="18"/>
    <w:link w:val="9"/>
    <w:semiHidden/>
    <w:qFormat/>
    <w:uiPriority w:val="99"/>
    <w:rPr>
      <w:rFonts w:ascii="Tahoma" w:hAnsi="Tahoma"/>
      <w:sz w:val="18"/>
      <w:szCs w:val="18"/>
    </w:rPr>
  </w:style>
  <w:style w:type="paragraph" w:customStyle="1" w:styleId="39">
    <w:name w:val="Char Char2 Char"/>
    <w:basedOn w:val="1"/>
    <w:qFormat/>
    <w:uiPriority w:val="0"/>
    <w:pPr>
      <w:widowControl w:val="0"/>
      <w:adjustRightInd/>
      <w:snapToGrid/>
      <w:spacing w:after="0"/>
      <w:jc w:val="both"/>
    </w:pPr>
    <w:rPr>
      <w:rFonts w:ascii="宋体" w:hAnsi="宋体" w:eastAsia="宋体" w:cs="Times New Roman"/>
      <w:b/>
      <w:kern w:val="2"/>
      <w:sz w:val="28"/>
      <w:szCs w:val="28"/>
    </w:rPr>
  </w:style>
  <w:style w:type="character" w:customStyle="1" w:styleId="40">
    <w:name w:val="普通(网站) 字符"/>
    <w:link w:val="15"/>
    <w:qFormat/>
    <w:uiPriority w:val="0"/>
    <w:rPr>
      <w:rFonts w:eastAsia="宋体"/>
      <w:kern w:val="2"/>
      <w:sz w:val="24"/>
      <w:szCs w:val="24"/>
    </w:rPr>
  </w:style>
  <w:style w:type="paragraph" w:customStyle="1" w:styleId="41">
    <w:name w:val="列出段落1"/>
    <w:basedOn w:val="1"/>
    <w:qFormat/>
    <w:uiPriority w:val="99"/>
    <w:pPr>
      <w:widowControl w:val="0"/>
      <w:adjustRightInd/>
      <w:snapToGrid/>
      <w:spacing w:after="0" w:line="360" w:lineRule="auto"/>
      <w:ind w:firstLine="420" w:firstLineChars="200"/>
      <w:jc w:val="both"/>
    </w:pPr>
    <w:rPr>
      <w:rFonts w:ascii="Times New Roman" w:hAnsi="Times New Roman" w:eastAsia="宋体" w:cs="Times New Roman"/>
      <w:kern w:val="2"/>
      <w:sz w:val="24"/>
      <w:szCs w:val="24"/>
    </w:rPr>
  </w:style>
  <w:style w:type="character" w:customStyle="1" w:styleId="42">
    <w:name w:val="p141"/>
    <w:qFormat/>
    <w:uiPriority w:val="0"/>
    <w:rPr>
      <w:sz w:val="21"/>
      <w:szCs w:val="21"/>
    </w:rPr>
  </w:style>
</w:styles>
</file>

<file path=word/_rels/document.xml.rels><?xml version="1.0" encoding="UTF-8" standalone="yes"?>
<Relationships xmlns="http://schemas.openxmlformats.org/package/2006/relationships"><Relationship Id="rId99" Type="http://schemas.openxmlformats.org/officeDocument/2006/relationships/image" Target="media/image93.png"/><Relationship Id="rId98" Type="http://schemas.openxmlformats.org/officeDocument/2006/relationships/image" Target="media/image92.png"/><Relationship Id="rId97" Type="http://schemas.openxmlformats.org/officeDocument/2006/relationships/image" Target="media/image91.png"/><Relationship Id="rId96" Type="http://schemas.openxmlformats.org/officeDocument/2006/relationships/image" Target="media/image90.png"/><Relationship Id="rId95" Type="http://schemas.openxmlformats.org/officeDocument/2006/relationships/image" Target="media/image89.png"/><Relationship Id="rId94" Type="http://schemas.openxmlformats.org/officeDocument/2006/relationships/image" Target="media/image88.png"/><Relationship Id="rId93" Type="http://schemas.openxmlformats.org/officeDocument/2006/relationships/image" Target="media/image87.png"/><Relationship Id="rId92" Type="http://schemas.openxmlformats.org/officeDocument/2006/relationships/image" Target="media/image86.png"/><Relationship Id="rId91" Type="http://schemas.openxmlformats.org/officeDocument/2006/relationships/image" Target="media/image85.png"/><Relationship Id="rId90" Type="http://schemas.openxmlformats.org/officeDocument/2006/relationships/image" Target="media/image84.png"/><Relationship Id="rId9" Type="http://schemas.openxmlformats.org/officeDocument/2006/relationships/image" Target="media/image3.png"/><Relationship Id="rId89" Type="http://schemas.openxmlformats.org/officeDocument/2006/relationships/image" Target="media/image83.png"/><Relationship Id="rId88" Type="http://schemas.openxmlformats.org/officeDocument/2006/relationships/image" Target="media/image82.png"/><Relationship Id="rId87" Type="http://schemas.openxmlformats.org/officeDocument/2006/relationships/image" Target="media/image81.png"/><Relationship Id="rId86" Type="http://schemas.openxmlformats.org/officeDocument/2006/relationships/image" Target="media/image80.png"/><Relationship Id="rId85" Type="http://schemas.openxmlformats.org/officeDocument/2006/relationships/image" Target="media/image79.png"/><Relationship Id="rId84" Type="http://schemas.openxmlformats.org/officeDocument/2006/relationships/image" Target="media/image78.png"/><Relationship Id="rId83" Type="http://schemas.openxmlformats.org/officeDocument/2006/relationships/image" Target="media/image77.png"/><Relationship Id="rId82" Type="http://schemas.openxmlformats.org/officeDocument/2006/relationships/image" Target="media/image76.png"/><Relationship Id="rId81" Type="http://schemas.openxmlformats.org/officeDocument/2006/relationships/image" Target="media/image75.png"/><Relationship Id="rId80" Type="http://schemas.openxmlformats.org/officeDocument/2006/relationships/image" Target="media/image74.png"/><Relationship Id="rId8" Type="http://schemas.openxmlformats.org/officeDocument/2006/relationships/image" Target="media/image2.png"/><Relationship Id="rId79" Type="http://schemas.openxmlformats.org/officeDocument/2006/relationships/image" Target="media/image73.png"/><Relationship Id="rId78" Type="http://schemas.openxmlformats.org/officeDocument/2006/relationships/image" Target="media/image72.png"/><Relationship Id="rId77" Type="http://schemas.openxmlformats.org/officeDocument/2006/relationships/image" Target="media/image71.png"/><Relationship Id="rId76" Type="http://schemas.openxmlformats.org/officeDocument/2006/relationships/image" Target="media/image70.png"/><Relationship Id="rId75" Type="http://schemas.openxmlformats.org/officeDocument/2006/relationships/image" Target="media/image69.png"/><Relationship Id="rId74" Type="http://schemas.openxmlformats.org/officeDocument/2006/relationships/image" Target="media/image68.png"/><Relationship Id="rId73" Type="http://schemas.openxmlformats.org/officeDocument/2006/relationships/image" Target="media/image67.png"/><Relationship Id="rId72" Type="http://schemas.openxmlformats.org/officeDocument/2006/relationships/image" Target="media/image66.png"/><Relationship Id="rId71" Type="http://schemas.openxmlformats.org/officeDocument/2006/relationships/image" Target="media/image65.png"/><Relationship Id="rId70" Type="http://schemas.openxmlformats.org/officeDocument/2006/relationships/image" Target="media/image64.png"/><Relationship Id="rId7" Type="http://schemas.openxmlformats.org/officeDocument/2006/relationships/image" Target="media/image1.jpeg"/><Relationship Id="rId69" Type="http://schemas.openxmlformats.org/officeDocument/2006/relationships/image" Target="media/image63.png"/><Relationship Id="rId68" Type="http://schemas.openxmlformats.org/officeDocument/2006/relationships/image" Target="media/image62.png"/><Relationship Id="rId67" Type="http://schemas.openxmlformats.org/officeDocument/2006/relationships/image" Target="media/image61.png"/><Relationship Id="rId66" Type="http://schemas.openxmlformats.org/officeDocument/2006/relationships/image" Target="media/image60.png"/><Relationship Id="rId65" Type="http://schemas.openxmlformats.org/officeDocument/2006/relationships/image" Target="media/image59.png"/><Relationship Id="rId64" Type="http://schemas.openxmlformats.org/officeDocument/2006/relationships/image" Target="media/image58.png"/><Relationship Id="rId63" Type="http://schemas.openxmlformats.org/officeDocument/2006/relationships/image" Target="media/image57.png"/><Relationship Id="rId62" Type="http://schemas.openxmlformats.org/officeDocument/2006/relationships/image" Target="media/image56.png"/><Relationship Id="rId61" Type="http://schemas.openxmlformats.org/officeDocument/2006/relationships/image" Target="media/image55.png"/><Relationship Id="rId60" Type="http://schemas.openxmlformats.org/officeDocument/2006/relationships/image" Target="media/image54.png"/><Relationship Id="rId6" Type="http://schemas.openxmlformats.org/officeDocument/2006/relationships/theme" Target="theme/theme1.xml"/><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footer" Target="footer2.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footer" Target="footer1.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5" Type="http://schemas.openxmlformats.org/officeDocument/2006/relationships/fontTable" Target="fontTable.xml"/><Relationship Id="rId104" Type="http://schemas.openxmlformats.org/officeDocument/2006/relationships/customXml" Target="../customXml/item2.xml"/><Relationship Id="rId103" Type="http://schemas.openxmlformats.org/officeDocument/2006/relationships/numbering" Target="numbering.xml"/><Relationship Id="rId102" Type="http://schemas.openxmlformats.org/officeDocument/2006/relationships/customXml" Target="../customXml/item1.xml"/><Relationship Id="rId101" Type="http://schemas.openxmlformats.org/officeDocument/2006/relationships/image" Target="media/image95.png"/><Relationship Id="rId100" Type="http://schemas.openxmlformats.org/officeDocument/2006/relationships/image" Target="media/image94.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71FBAE-2CAE-44C6-AC91-4383CA6204F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63</Pages>
  <Words>5400</Words>
  <Characters>30783</Characters>
  <Lines>256</Lines>
  <Paragraphs>72</Paragraphs>
  <TotalTime>0</TotalTime>
  <ScaleCrop>false</ScaleCrop>
  <LinksUpToDate>false</LinksUpToDate>
  <CharactersWithSpaces>36111</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2018-03-23T02:07:00Z</dcterms:created>
  <dc:creator>11</dc:creator>
  <cp:lastModifiedBy>三方诚信</cp:lastModifiedBy>
  <cp:lastPrinted>2019-04-01T01:49:00Z</cp:lastPrinted>
  <dcterms:modified xsi:type="dcterms:W3CDTF">2020-08-19T09:08:25Z</dcterms:modified>
  <cp:revision>105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